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 xml:space="preserve">UNITED STATES </w:t>
      </w:r>
    </w:p>
    <w:p>
      <w:pPr>
        <w:pStyle w:val="TextBody"/>
        <w:bidi w:val="0"/>
        <w:spacing w:lineRule="auto" w:line="288" w:before="0" w:after="0"/>
        <w:jc w:val="center"/>
        <w:rPr/>
      </w:pPr>
      <w:r>
        <w:rPr>
          <w:rFonts w:ascii="Expensify Neue;sans-serif" w:hAnsi="Expensify Neue;sans-serif"/>
          <w:b/>
          <w:color w:val="000000"/>
          <w:sz w:val="24"/>
        </w:rPr>
        <w:t>SECURITIES AND EXCHANGE COMMISSION</w:t>
      </w:r>
      <w:r>
        <w:rPr>
          <w:color w:val="000000"/>
        </w:rPr>
        <w:t xml:space="preserve"> </w:t>
      </w:r>
    </w:p>
    <w:p>
      <w:pPr>
        <w:pStyle w:val="TextBody"/>
        <w:bidi w:val="0"/>
        <w:spacing w:lineRule="auto" w:line="288" w:before="0" w:after="100"/>
        <w:jc w:val="center"/>
        <w:rPr>
          <w:rFonts w:ascii="Expensify Neue;sans-serif" w:hAnsi="Expensify Neue;sans-serif"/>
          <w:b/>
          <w:color w:val="000000"/>
          <w:sz w:val="14"/>
        </w:rPr>
      </w:pPr>
      <w:r>
        <w:rPr>
          <w:rFonts w:ascii="Expensify Neue;sans-serif" w:hAnsi="Expensify Neue;sans-serif"/>
          <w:b/>
          <w:color w:val="000000"/>
          <w:sz w:val="1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Expensify Neue;sans-serif" w:hAnsi="Expensify Neue;sans-serif"/>
          <w:b/>
          <w:color w:val="000000"/>
          <w:sz w:val="28"/>
        </w:rPr>
      </w:pPr>
      <w:r>
        <w:rPr>
          <w:rFonts w:ascii="Expensify Neue;sans-serif" w:hAnsi="Expensify Neue;sans-serif"/>
          <w:b/>
          <w:color w:val="000000"/>
          <w:sz w:val="28"/>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86" w:type="dxa"/>
        <w:jc w:val="left"/>
        <w:tblInd w:w="0" w:type="dxa"/>
        <w:tblLayout w:type="fixed"/>
        <w:tblCellMar>
          <w:top w:w="28" w:type="dxa"/>
          <w:left w:w="28" w:type="dxa"/>
          <w:bottom w:w="28" w:type="dxa"/>
          <w:right w:w="28" w:type="dxa"/>
        </w:tblCellMar>
      </w:tblPr>
      <w:tblGrid>
        <w:gridCol w:w="124"/>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QUARTERLY REPORT PURSUANT TO SECTION 13 OR 15(d) OF THE SECURITIES EXCHANGE ACT OF 1934</w:t>
            </w:r>
          </w:p>
        </w:tc>
      </w:tr>
    </w:tbl>
    <w:p>
      <w:pPr>
        <w:pStyle w:val="TextBody"/>
        <w:bidi w:val="0"/>
        <w:spacing w:lineRule="auto" w:line="288" w:before="0" w:after="120"/>
        <w:jc w:val="center"/>
        <w:rPr>
          <w:rFonts w:ascii="Expensify Neue;sans-serif" w:hAnsi="Expensify Neue;sans-serif"/>
          <w:b w:val="false"/>
          <w:color w:val="000000"/>
          <w:sz w:val="16"/>
        </w:rPr>
      </w:pPr>
      <w:r>
        <w:rPr>
          <w:rFonts w:ascii="Expensify Neue;sans-serif" w:hAnsi="Expensify Neue;sans-serif"/>
          <w:b w:val="false"/>
          <w:color w:val="000000"/>
          <w:sz w:val="16"/>
        </w:rPr>
        <w:t>For the quarterly period ended June 30, 2026</w:t>
      </w:r>
    </w:p>
    <w:p>
      <w:pPr>
        <w:pStyle w:val="TextBody"/>
        <w:bidi w:val="0"/>
        <w:spacing w:lineRule="auto" w:line="288" w:before="0" w:after="120"/>
        <w:jc w:val="center"/>
        <w:rPr>
          <w:rFonts w:ascii="Expensify Neue;sans-serif" w:hAnsi="Expensify Neue;sans-serif"/>
          <w:b w:val="false"/>
          <w:color w:val="000000"/>
          <w:sz w:val="16"/>
        </w:rPr>
      </w:pPr>
      <w:r>
        <w:rPr>
          <w:rFonts w:ascii="Expensify Neue;sans-serif" w:hAnsi="Expensify Neue;sans-serif"/>
          <w:b w:val="false"/>
          <w:color w:val="000000"/>
          <w:sz w:val="16"/>
        </w:rPr>
        <w:t>OR</w:t>
      </w:r>
    </w:p>
    <w:tbl>
      <w:tblPr>
        <w:tblW w:w="9086" w:type="dxa"/>
        <w:jc w:val="left"/>
        <w:tblInd w:w="0" w:type="dxa"/>
        <w:tblLayout w:type="fixed"/>
        <w:tblCellMar>
          <w:top w:w="28" w:type="dxa"/>
          <w:left w:w="28" w:type="dxa"/>
          <w:bottom w:w="28" w:type="dxa"/>
          <w:right w:w="28" w:type="dxa"/>
        </w:tblCellMar>
      </w:tblPr>
      <w:tblGrid>
        <w:gridCol w:w="124"/>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TRANSITION REPORT PURSUANT TO SECTION 13 OR 15(d) OF THE SECURITIES EXCHANGE ACT OF 1934</w:t>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For the transition period from to</w:t>
      </w:r>
    </w:p>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Commission File Number 001-41043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drawing>
          <wp:inline distT="0" distB="0" distL="0" distR="0">
            <wp:extent cx="21336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495300"/>
                    </a:xfrm>
                    <a:prstGeom prst="rect">
                      <a:avLst/>
                    </a:prstGeom>
                  </pic:spPr>
                </pic:pic>
              </a:graphicData>
            </a:graphic>
          </wp:inline>
        </w:drawing>
      </w:r>
      <w:bookmarkStart w:id="0" w:name="i-1"/>
      <w:bookmarkEnd w:id="0"/>
    </w:p>
    <w:p>
      <w:pPr>
        <w:pStyle w:val="TextBody"/>
        <w:bidi w:val="0"/>
        <w:spacing w:lineRule="auto" w:line="288" w:before="0" w:after="0"/>
        <w:jc w:val="center"/>
        <w:rPr>
          <w:rFonts w:ascii="Expensify Neue;sans-serif" w:hAnsi="Expensify Neue;sans-serif"/>
          <w:b/>
          <w:color w:val="000000"/>
          <w:sz w:val="36"/>
        </w:rPr>
      </w:pPr>
      <w:r>
        <w:rPr>
          <w:rFonts w:ascii="Expensify Neue;sans-serif" w:hAnsi="Expensify Neue;sans-serif"/>
          <w:b/>
          <w:color w:val="000000"/>
          <w:sz w:val="36"/>
        </w:rPr>
        <w:t>EXPENSIFY, INC.</w:t>
      </w:r>
    </w:p>
    <w:p>
      <w:pPr>
        <w:pStyle w:val="TextBody"/>
        <w:bidi w:val="0"/>
        <w:spacing w:lineRule="auto" w:line="288" w:before="0" w:after="120"/>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485" w:type="dxa"/>
        <w:jc w:val="center"/>
        <w:tblInd w:w="0" w:type="dxa"/>
        <w:tblLayout w:type="fixed"/>
        <w:tblCellMar>
          <w:top w:w="28" w:type="dxa"/>
          <w:left w:w="28" w:type="dxa"/>
          <w:bottom w:w="28" w:type="dxa"/>
          <w:right w:w="28" w:type="dxa"/>
        </w:tblCellMar>
      </w:tblPr>
      <w:tblGrid>
        <w:gridCol w:w="1342"/>
        <w:gridCol w:w="1175"/>
        <w:gridCol w:w="1187"/>
        <w:gridCol w:w="109"/>
        <w:gridCol w:w="109"/>
        <w:gridCol w:w="109"/>
        <w:gridCol w:w="424"/>
        <w:gridCol w:w="424"/>
        <w:gridCol w:w="606"/>
      </w:tblGrid>
      <w:tr>
        <w:trPr/>
        <w:tc>
          <w:tcPr>
            <w:tcW w:w="134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color w:val="000000"/>
                <w:sz w:val="14"/>
              </w:rPr>
            </w:pPr>
            <w:r>
              <w:rPr>
                <w:rFonts w:ascii="Expensify Neue;sans-serif" w:hAnsi="Expensify Neue;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color w:val="000000"/>
                <w:sz w:val="14"/>
              </w:rPr>
            </w:pPr>
            <w:r>
              <w:rPr>
                <w:rFonts w:ascii="Expensify Neue;sans-serif" w:hAnsi="Expensify Neue;sans-serif"/>
                <w:b/>
                <w:color w:val="000000"/>
                <w:sz w:val="14"/>
              </w:rPr>
              <w:t>27-0239450</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(State or other jurisdiction of</w:t>
            </w:r>
          </w:p>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(I.R.S. Employer</w:t>
            </w:r>
          </w:p>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Identification No.)</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Expensify Neue;sans-serif" w:hAnsi="Expensify Neue;sans-serif"/>
                <w:b/>
                <w:color w:val="000000"/>
                <w:sz w:val="14"/>
              </w:rPr>
            </w:pPr>
            <w:r>
              <w:rPr>
                <w:rFonts w:ascii="Expensify Neue;sans-serif" w:hAnsi="Expensify Neue;sans-serif"/>
                <w:b/>
                <w:color w:val="000000"/>
                <w:sz w:val="14"/>
              </w:rPr>
              <w:t>88 Kearny St, Ste 1600,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94108</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(Zip code) </w:t>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Registrant’s telephone number, including area code: (971) 365-3939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30"/>
        <w:gridCol w:w="1486"/>
        <w:gridCol w:w="1484"/>
        <w:gridCol w:w="109"/>
        <w:gridCol w:w="109"/>
        <w:gridCol w:w="109"/>
        <w:gridCol w:w="445"/>
        <w:gridCol w:w="445"/>
        <w:gridCol w:w="447"/>
        <w:gridCol w:w="109"/>
        <w:gridCol w:w="109"/>
        <w:gridCol w:w="109"/>
        <w:gridCol w:w="1027"/>
        <w:gridCol w:w="1027"/>
        <w:gridCol w:w="1460"/>
      </w:tblGrid>
      <w:tr>
        <w:trPr/>
        <w:tc>
          <w:tcPr>
            <w:tcW w:w="173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Name of each exchange on which registered</w:t>
            </w:r>
          </w:p>
        </w:tc>
      </w:tr>
      <w:tr>
        <w:trPr/>
        <w:tc>
          <w:tcPr>
            <w:tcW w:w="4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Nasdaq Stock Market LLC</w:t>
            </w:r>
          </w:p>
        </w:tc>
      </w:tr>
    </w:tbl>
    <w:p>
      <w:pPr>
        <w:pStyle w:val="TextBody"/>
        <w:bidi w:val="0"/>
        <w:spacing w:lineRule="auto" w:line="288" w:before="0" w:after="120"/>
        <w:jc w:val="center"/>
        <w:rPr/>
      </w:pPr>
      <w:r>
        <w:rPr>
          <w:rFonts w:ascii="Arial;sans-serif" w:hAnsi="Arial;sans-serif"/>
          <w:b w:val="false"/>
          <w:color w:val="000000"/>
          <w:sz w:val="16"/>
        </w:rPr>
        <w:t>Securities registered pursuant to Section 12(</w:t>
      </w:r>
      <w:r>
        <w:rPr>
          <w:rFonts w:ascii="Expensify Neue;sans-serif" w:hAnsi="Expensify Neue;sans-serif"/>
          <w:b w:val="false"/>
          <w:color w:val="000000"/>
          <w:sz w:val="16"/>
        </w:rPr>
        <w:t>g</w:t>
      </w:r>
      <w:r>
        <w:rPr>
          <w:rFonts w:ascii="Arial;sans-serif" w:hAnsi="Arial;sans-serif"/>
          <w:b w:val="false"/>
          <w:color w:val="000000"/>
          <w:sz w:val="16"/>
        </w:rPr>
        <w:t>) of the Act:</w:t>
      </w:r>
      <w:r>
        <w:rPr>
          <w:color w:val="000000"/>
        </w:rPr>
        <w:t xml:space="preserve"> </w:t>
      </w:r>
      <w:r>
        <w:rPr>
          <w:rFonts w:ascii="Expensify Neue;sans-serif" w:hAnsi="Expensify Neue;sans-serif"/>
          <w:b w:val="false"/>
          <w:color w:val="000000"/>
          <w:sz w:val="16"/>
        </w:rPr>
        <w:t>None</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22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56" w:type="dxa"/>
        <w:jc w:val="left"/>
        <w:tblInd w:w="0" w:type="dxa"/>
        <w:tblLayout w:type="fixed"/>
        <w:tblCellMar>
          <w:top w:w="28" w:type="dxa"/>
          <w:left w:w="28" w:type="dxa"/>
          <w:bottom w:w="28" w:type="dxa"/>
          <w:right w:w="28" w:type="dxa"/>
        </w:tblCellMar>
      </w:tblPr>
      <w:tblGrid>
        <w:gridCol w:w="808"/>
        <w:gridCol w:w="712"/>
        <w:gridCol w:w="714"/>
        <w:gridCol w:w="109"/>
        <w:gridCol w:w="109"/>
        <w:gridCol w:w="109"/>
        <w:gridCol w:w="672"/>
        <w:gridCol w:w="672"/>
        <w:gridCol w:w="951"/>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Accelerated filer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Smaller reporting company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Emerging growth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Expensify Neue;sans-serif" w:hAnsi="Expensify Neue;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is a shell company (as defined in Rule 12b-2 of the Act): Yes ☐ No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The registrant had outstanding 78,936,804 shares of Class A common stock, par value of $0.0001 per share, 4,209,827 shares of LT10 common stock, par value $0.0001 per share, and 8,040,033 shares of LT50 common stock, par value $0.0001 per share, as of August 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Table of Contents</w:t>
      </w:r>
    </w:p>
    <w:tbl>
      <w:tblPr>
        <w:tblW w:w="10205" w:type="dxa"/>
        <w:jc w:val="left"/>
        <w:tblInd w:w="0" w:type="dxa"/>
        <w:tblLayout w:type="fixed"/>
        <w:tblCellMar>
          <w:top w:w="28" w:type="dxa"/>
          <w:left w:w="28" w:type="dxa"/>
          <w:bottom w:w="28" w:type="dxa"/>
          <w:right w:w="28" w:type="dxa"/>
        </w:tblCellMar>
      </w:tblPr>
      <w:tblGrid>
        <w:gridCol w:w="832"/>
        <w:gridCol w:w="731"/>
        <w:gridCol w:w="731"/>
        <w:gridCol w:w="2518"/>
        <w:gridCol w:w="2326"/>
        <w:gridCol w:w="2359"/>
        <w:gridCol w:w="206"/>
        <w:gridCol w:w="206"/>
        <w:gridCol w:w="296"/>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color w:val="000000"/>
                <w:sz w:val="20"/>
              </w:rPr>
            </w:pPr>
            <w:r>
              <w:rPr>
                <w:rFonts w:ascii="Expensify Neue;sans-serif" w:hAnsi="Expensify Neue;sans-serif"/>
                <w:b/>
                <w:color w:val="000000"/>
                <w:sz w:val="20"/>
              </w:rPr>
              <w:t>Page</w:t>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0">
              <w:r>
                <w:rPr>
                  <w:rStyle w:val="InternetLink"/>
                  <w:rFonts w:ascii="Expensify Neue;sans-serif" w:hAnsi="Expensify Neue;sans-serif"/>
                  <w:b w:val="false"/>
                  <w:strike w:val="false"/>
                  <w:dstrike w:val="false"/>
                  <w:color w:val="03D47C"/>
                  <w:sz w:val="20"/>
                  <w:u w:val="none"/>
                  <w:effect w:val="none"/>
                </w:rPr>
                <w:t>Special Note Regarding Forward-Looking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0">
              <w:r>
                <w:rPr>
                  <w:rStyle w:val="InternetLink"/>
                  <w:rFonts w:ascii="Expensify Neue;sans-serif" w:hAnsi="Expensify Neue;sans-serif"/>
                  <w:b w:val="false"/>
                  <w:strike w:val="false"/>
                  <w:dstrike w:val="false"/>
                  <w:color w:val="03D47C"/>
                  <w:sz w:val="20"/>
                  <w:u w:val="none"/>
                  <w:effect w:val="none"/>
                </w:rPr>
                <w:t>1</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3">
              <w:r>
                <w:rPr>
                  <w:rStyle w:val="InternetLink"/>
                  <w:rFonts w:ascii="Expensify Neue;sans-serif" w:hAnsi="Expensify Neue;sans-serif"/>
                  <w:b/>
                  <w:strike w:val="false"/>
                  <w:dstrike w:val="false"/>
                  <w:color w:val="03D47C"/>
                  <w:sz w:val="20"/>
                  <w:u w:val="none"/>
                  <w:effect w:val="none"/>
                </w:rPr>
                <w:t>Part I - Financial Information</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1.</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6">
              <w:r>
                <w:rPr>
                  <w:rStyle w:val="InternetLink"/>
                  <w:rFonts w:ascii="Expensify Neue;sans-serif" w:hAnsi="Expensify Neue;sans-serif"/>
                  <w:b w:val="false"/>
                  <w:strike w:val="false"/>
                  <w:dstrike w:val="false"/>
                  <w:color w:val="03D47C"/>
                  <w:sz w:val="20"/>
                  <w:u w:val="none"/>
                  <w:effect w:val="none"/>
                </w:rPr>
                <w:t>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6">
              <w:r>
                <w:rPr>
                  <w:rStyle w:val="InternetLink"/>
                  <w:rFonts w:ascii="Expensify Neue;sans-serif" w:hAnsi="Expensify Neue;sans-serif"/>
                  <w:b w:val="false"/>
                  <w:strike w:val="false"/>
                  <w:dstrike w:val="false"/>
                  <w:color w:val="03D47C"/>
                  <w:sz w:val="20"/>
                  <w:u w:val="none"/>
                  <w:effect w:val="none"/>
                </w:rPr>
                <w:t>4</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9da25e56d5847bfbc1802068dc17a29_19">
              <w:r>
                <w:rPr>
                  <w:rStyle w:val="InternetLink"/>
                  <w:rFonts w:ascii="Expensify Neue;sans-serif" w:hAnsi="Expensify Neue;sans-serif"/>
                  <w:b w:val="false"/>
                  <w:strike w:val="false"/>
                  <w:dstrike w:val="false"/>
                  <w:color w:val="03D47C"/>
                  <w:sz w:val="20"/>
                  <w:u w:val="none"/>
                  <w:effect w:val="none"/>
                </w:rPr>
                <w:t>Condensed Consolidated Balance Sheets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9">
              <w:r>
                <w:rPr>
                  <w:rStyle w:val="InternetLink"/>
                  <w:rFonts w:ascii="Expensify Neue;sans-serif" w:hAnsi="Expensify Neue;sans-serif"/>
                  <w:b w:val="false"/>
                  <w:strike w:val="false"/>
                  <w:dstrike w:val="false"/>
                  <w:color w:val="03D47C"/>
                  <w:sz w:val="20"/>
                  <w:u w:val="none"/>
                  <w:effect w:val="none"/>
                </w:rPr>
                <w:t>5</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9da25e56d5847bfbc1802068dc17a29_22">
              <w:r>
                <w:rPr>
                  <w:rStyle w:val="InternetLink"/>
                  <w:rFonts w:ascii="Expensify Neue;sans-serif" w:hAnsi="Expensify Neue;sans-serif"/>
                  <w:b w:val="false"/>
                  <w:strike w:val="false"/>
                  <w:dstrike w:val="false"/>
                  <w:color w:val="03D47C"/>
                  <w:sz w:val="20"/>
                  <w:u w:val="none"/>
                  <w:effect w:val="none"/>
                </w:rPr>
                <w:t>Condensed Consolidated Statements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22">
              <w:r>
                <w:rPr>
                  <w:rStyle w:val="InternetLink"/>
                  <w:rFonts w:ascii="Expensify Neue;sans-serif" w:hAnsi="Expensify Neue;sans-serif"/>
                  <w:b w:val="false"/>
                  <w:strike w:val="false"/>
                  <w:dstrike w:val="false"/>
                  <w:color w:val="03D47C"/>
                  <w:sz w:val="20"/>
                  <w:u w:val="none"/>
                  <w:effect w:val="none"/>
                </w:rPr>
                <w:t>6</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9da25e56d5847bfbc1802068dc17a29_25">
              <w:r>
                <w:rPr>
                  <w:rStyle w:val="InternetLink"/>
                  <w:rFonts w:ascii="Expensify Neue;sans-serif" w:hAnsi="Expensify Neue;sans-serif"/>
                  <w:b w:val="false"/>
                  <w:strike w:val="false"/>
                  <w:dstrike w:val="false"/>
                  <w:color w:val="03D47C"/>
                  <w:sz w:val="20"/>
                  <w:u w:val="none"/>
                  <w:effect w:val="none"/>
                </w:rPr>
                <w:t>Condensed Consolidated Statements of Changes in Stockholders’ Equity</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25">
              <w:r>
                <w:rPr>
                  <w:rStyle w:val="InternetLink"/>
                  <w:rFonts w:ascii="Expensify Neue;sans-serif" w:hAnsi="Expensify Neue;sans-serif"/>
                  <w:b w:val="false"/>
                  <w:strike w:val="false"/>
                  <w:dstrike w:val="false"/>
                  <w:color w:val="03D47C"/>
                  <w:sz w:val="20"/>
                  <w:u w:val="none"/>
                  <w:effect w:val="none"/>
                </w:rPr>
                <w:t>7</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9da25e56d5847bfbc1802068dc17a29_31">
              <w:r>
                <w:rPr>
                  <w:rStyle w:val="InternetLink"/>
                  <w:rFonts w:ascii="Expensify Neue;sans-serif" w:hAnsi="Expensify Neue;sans-serif"/>
                  <w:b w:val="false"/>
                  <w:strike w:val="false"/>
                  <w:dstrike w:val="false"/>
                  <w:color w:val="03D47C"/>
                  <w:sz w:val="20"/>
                  <w:u w:val="none"/>
                  <w:effect w:val="none"/>
                </w:rPr>
                <w:t>Condensed Consolidated Statements of Cash Flows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31">
              <w:r>
                <w:rPr>
                  <w:rStyle w:val="InternetLink"/>
                  <w:rFonts w:ascii="Expensify Neue;sans-serif" w:hAnsi="Expensify Neue;sans-serif"/>
                  <w:b w:val="false"/>
                  <w:strike w:val="false"/>
                  <w:dstrike w:val="false"/>
                  <w:color w:val="03D47C"/>
                  <w:sz w:val="20"/>
                  <w:u w:val="none"/>
                  <w:effect w:val="none"/>
                </w:rPr>
                <w:t>11</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9da25e56d5847bfbc1802068dc17a29_34">
              <w:r>
                <w:rPr>
                  <w:rStyle w:val="InternetLink"/>
                  <w:rFonts w:ascii="Expensify Neue;sans-serif" w:hAnsi="Expensify Neue;sans-serif"/>
                  <w:b w:val="false"/>
                  <w:strike w:val="false"/>
                  <w:dstrike w:val="false"/>
                  <w:color w:val="03D47C"/>
                  <w:sz w:val="20"/>
                  <w:u w:val="none"/>
                  <w:effect w:val="none"/>
                </w:rPr>
                <w:t>Notes to 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34">
              <w:r>
                <w:rPr>
                  <w:rStyle w:val="InternetLink"/>
                  <w:rFonts w:ascii="Expensify Neue;sans-serif" w:hAnsi="Expensify Neue;sans-serif"/>
                  <w:b w:val="false"/>
                  <w:strike w:val="false"/>
                  <w:dstrike w:val="false"/>
                  <w:color w:val="03D47C"/>
                  <w:sz w:val="20"/>
                  <w:u w:val="none"/>
                  <w:effect w:val="none"/>
                </w:rPr>
                <w:t>13</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2.</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9da25e56d5847bfbc1802068dc17a29_73">
              <w:r>
                <w:rPr>
                  <w:rStyle w:val="InternetLink"/>
                  <w:rFonts w:ascii="Expensify Neue;sans-serif" w:hAnsi="Expensify Neue;sans-serif"/>
                  <w:b w:val="false"/>
                  <w:strike w:val="false"/>
                  <w:dstrike w:val="false"/>
                  <w:color w:val="03D47C"/>
                  <w:sz w:val="20"/>
                  <w:u w:val="none"/>
                  <w:effect w:val="none"/>
                </w:rPr>
                <w:t>Management's Discussion and Analysis of Financial Condition and Results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73">
              <w:r>
                <w:rPr>
                  <w:rStyle w:val="InternetLink"/>
                  <w:rFonts w:ascii="Expensify Neue;sans-serif" w:hAnsi="Expensify Neue;sans-serif"/>
                  <w:b w:val="false"/>
                  <w:strike w:val="false"/>
                  <w:dstrike w:val="false"/>
                  <w:color w:val="03D47C"/>
                  <w:sz w:val="20"/>
                  <w:u w:val="none"/>
                  <w:effect w:val="none"/>
                </w:rPr>
                <w:t>29</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3.</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09">
              <w:r>
                <w:rPr>
                  <w:rStyle w:val="InternetLink"/>
                  <w:rFonts w:ascii="Expensify Neue;sans-serif" w:hAnsi="Expensify Neue;sans-serif"/>
                  <w:b w:val="false"/>
                  <w:strike w:val="false"/>
                  <w:dstrike w:val="false"/>
                  <w:color w:val="03D47C"/>
                  <w:sz w:val="20"/>
                  <w:u w:val="none"/>
                  <w:effect w:val="none"/>
                </w:rPr>
                <w:t>Quantitative and Qualitative Disclosures About Market Risk</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09">
              <w:r>
                <w:rPr>
                  <w:rStyle w:val="InternetLink"/>
                  <w:rFonts w:ascii="Expensify Neue;sans-serif" w:hAnsi="Expensify Neue;sans-serif"/>
                  <w:b w:val="false"/>
                  <w:strike w:val="false"/>
                  <w:dstrike w:val="false"/>
                  <w:color w:val="03D47C"/>
                  <w:sz w:val="20"/>
                  <w:u w:val="none"/>
                  <w:effect w:val="none"/>
                </w:rPr>
                <w:t>43</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4.</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12">
              <w:r>
                <w:rPr>
                  <w:rStyle w:val="InternetLink"/>
                  <w:rFonts w:ascii="Expensify Neue;sans-serif" w:hAnsi="Expensify Neue;sans-serif"/>
                  <w:b w:val="false"/>
                  <w:strike w:val="false"/>
                  <w:dstrike w:val="false"/>
                  <w:color w:val="03D47C"/>
                  <w:sz w:val="20"/>
                  <w:u w:val="none"/>
                  <w:effect w:val="none"/>
                </w:rPr>
                <w:t>Controls and Procedures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12">
              <w:r>
                <w:rPr>
                  <w:rStyle w:val="InternetLink"/>
                  <w:rFonts w:ascii="Expensify Neue;sans-serif" w:hAnsi="Expensify Neue;sans-serif"/>
                  <w:b w:val="false"/>
                  <w:strike w:val="false"/>
                  <w:dstrike w:val="false"/>
                  <w:color w:val="03D47C"/>
                  <w:sz w:val="20"/>
                  <w:u w:val="none"/>
                  <w:effect w:val="none"/>
                </w:rPr>
                <w:t>44</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15">
              <w:r>
                <w:rPr>
                  <w:rStyle w:val="InternetLink"/>
                  <w:rFonts w:ascii="Expensify Neue;sans-serif" w:hAnsi="Expensify Neue;sans-serif"/>
                  <w:b/>
                  <w:strike w:val="false"/>
                  <w:dstrike w:val="false"/>
                  <w:color w:val="03D47C"/>
                  <w:sz w:val="20"/>
                  <w:u w:val="none"/>
                  <w:effect w:val="none"/>
                </w:rPr>
                <w:t>Part II - Other Information</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1.</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18">
              <w:r>
                <w:rPr>
                  <w:rStyle w:val="InternetLink"/>
                  <w:rFonts w:ascii="Expensify Neue;sans-serif" w:hAnsi="Expensify Neue;sans-serif"/>
                  <w:b w:val="false"/>
                  <w:strike w:val="false"/>
                  <w:dstrike w:val="false"/>
                  <w:color w:val="03D47C"/>
                  <w:sz w:val="20"/>
                  <w:u w:val="none"/>
                  <w:effect w:val="none"/>
                </w:rPr>
                <w:t>Legal Proceedings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18">
              <w:r>
                <w:rPr>
                  <w:rStyle w:val="InternetLink"/>
                  <w:rFonts w:ascii="Expensify Neue;sans-serif" w:hAnsi="Expensify Neue;sans-serif"/>
                  <w:b w:val="false"/>
                  <w:strike w:val="false"/>
                  <w:dstrike w:val="false"/>
                  <w:color w:val="03D47C"/>
                  <w:sz w:val="20"/>
                  <w:u w:val="none"/>
                  <w:effect w:val="none"/>
                </w:rPr>
                <w:t>45</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1A.</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21">
              <w:r>
                <w:rPr>
                  <w:rStyle w:val="InternetLink"/>
                  <w:rFonts w:ascii="Expensify Neue;sans-serif" w:hAnsi="Expensify Neue;sans-serif"/>
                  <w:b w:val="false"/>
                  <w:strike w:val="false"/>
                  <w:dstrike w:val="false"/>
                  <w:color w:val="03D47C"/>
                  <w:sz w:val="20"/>
                  <w:u w:val="none"/>
                  <w:effect w:val="none"/>
                </w:rPr>
                <w:t>Risk Factors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21">
              <w:r>
                <w:rPr>
                  <w:rStyle w:val="InternetLink"/>
                  <w:rFonts w:ascii="Expensify Neue;sans-serif" w:hAnsi="Expensify Neue;sans-serif"/>
                  <w:b w:val="false"/>
                  <w:strike w:val="false"/>
                  <w:dstrike w:val="false"/>
                  <w:color w:val="03D47C"/>
                  <w:sz w:val="20"/>
                  <w:u w:val="none"/>
                  <w:effect w:val="none"/>
                </w:rPr>
                <w:t>46</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2.</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24">
              <w:r>
                <w:rPr>
                  <w:rStyle w:val="InternetLink"/>
                  <w:rFonts w:ascii="Expensify Neue;sans-serif" w:hAnsi="Expensify Neue;sans-serif"/>
                  <w:b w:val="false"/>
                  <w:strike w:val="false"/>
                  <w:dstrike w:val="false"/>
                  <w:color w:val="03D47C"/>
                  <w:sz w:val="20"/>
                  <w:u w:val="none"/>
                  <w:effect w:val="none"/>
                </w:rPr>
                <w:t>Unregistered Sales of Equity Securities and Use of Proceeds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24">
              <w:r>
                <w:rPr>
                  <w:rStyle w:val="InternetLink"/>
                  <w:rFonts w:ascii="Expensify Neue;sans-serif" w:hAnsi="Expensify Neue;sans-serif"/>
                  <w:b w:val="false"/>
                  <w:strike w:val="false"/>
                  <w:dstrike w:val="false"/>
                  <w:color w:val="03D47C"/>
                  <w:sz w:val="20"/>
                  <w:u w:val="none"/>
                  <w:effect w:val="none"/>
                </w:rPr>
                <w:t>47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3.</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27">
              <w:r>
                <w:rPr>
                  <w:rStyle w:val="InternetLink"/>
                  <w:rFonts w:ascii="Expensify Neue;sans-serif" w:hAnsi="Expensify Neue;sans-serif"/>
                  <w:b w:val="false"/>
                  <w:strike w:val="false"/>
                  <w:dstrike w:val="false"/>
                  <w:color w:val="03D47C"/>
                  <w:sz w:val="20"/>
                  <w:u w:val="none"/>
                  <w:effect w:val="none"/>
                </w:rPr>
                <w:t>Defaults Upon Senior Securities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27">
              <w:r>
                <w:rPr>
                  <w:rStyle w:val="InternetLink"/>
                  <w:rFonts w:ascii="Expensify Neue;sans-serif" w:hAnsi="Expensify Neue;sans-serif"/>
                  <w:b w:val="false"/>
                  <w:strike w:val="false"/>
                  <w:dstrike w:val="false"/>
                  <w:color w:val="03D47C"/>
                  <w:sz w:val="20"/>
                  <w:u w:val="none"/>
                  <w:effect w:val="none"/>
                </w:rPr>
                <w:t>47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4.</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30">
              <w:r>
                <w:rPr>
                  <w:rStyle w:val="InternetLink"/>
                  <w:rFonts w:ascii="Expensify Neue;sans-serif" w:hAnsi="Expensify Neue;sans-serif"/>
                  <w:b w:val="false"/>
                  <w:strike w:val="false"/>
                  <w:dstrike w:val="false"/>
                  <w:color w:val="03D47C"/>
                  <w:sz w:val="20"/>
                  <w:u w:val="none"/>
                  <w:effect w:val="none"/>
                </w:rPr>
                <w:t>Mine Safety Disclosures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30">
              <w:r>
                <w:rPr>
                  <w:rStyle w:val="InternetLink"/>
                  <w:rFonts w:ascii="Expensify Neue;sans-serif" w:hAnsi="Expensify Neue;sans-serif"/>
                  <w:b w:val="false"/>
                  <w:strike w:val="false"/>
                  <w:dstrike w:val="false"/>
                  <w:color w:val="03D47C"/>
                  <w:sz w:val="20"/>
                  <w:u w:val="none"/>
                  <w:effect w:val="none"/>
                </w:rPr>
                <w:t>47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5.</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33">
              <w:r>
                <w:rPr>
                  <w:rStyle w:val="InternetLink"/>
                  <w:rFonts w:ascii="Expensify Neue;sans-serif" w:hAnsi="Expensify Neue;sans-serif"/>
                  <w:b w:val="false"/>
                  <w:strike w:val="false"/>
                  <w:dstrike w:val="false"/>
                  <w:color w:val="03D47C"/>
                  <w:sz w:val="20"/>
                  <w:u w:val="none"/>
                  <w:effect w:val="none"/>
                </w:rPr>
                <w:t>Other Information</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33">
              <w:r>
                <w:rPr>
                  <w:rStyle w:val="InternetLink"/>
                  <w:rFonts w:ascii="Expensify Neue;sans-serif" w:hAnsi="Expensify Neue;sans-serif"/>
                  <w:b w:val="false"/>
                  <w:strike w:val="false"/>
                  <w:dstrike w:val="false"/>
                  <w:color w:val="03D47C"/>
                  <w:sz w:val="20"/>
                  <w:u w:val="none"/>
                  <w:effect w:val="none"/>
                </w:rPr>
                <w:t>47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6.</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42">
              <w:r>
                <w:rPr>
                  <w:rStyle w:val="InternetLink"/>
                  <w:rFonts w:ascii="Expensify Neue;sans-serif" w:hAnsi="Expensify Neue;sans-serif"/>
                  <w:b w:val="false"/>
                  <w:strike w:val="false"/>
                  <w:dstrike w:val="false"/>
                  <w:color w:val="03D47C"/>
                  <w:sz w:val="20"/>
                  <w:u w:val="none"/>
                  <w:effect w:val="none"/>
                </w:rPr>
                <w:t>Exhibits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42">
              <w:r>
                <w:rPr>
                  <w:rStyle w:val="InternetLink"/>
                  <w:rFonts w:ascii="Expensify Neue;sans-serif" w:hAnsi="Expensify Neue;sans-serif"/>
                  <w:b w:val="false"/>
                  <w:strike w:val="false"/>
                  <w:dstrike w:val="false"/>
                  <w:color w:val="03D47C"/>
                  <w:sz w:val="20"/>
                  <w:u w:val="none"/>
                  <w:effect w:val="none"/>
                </w:rPr>
                <w:t>48</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a25e56d5847bfbc1802068dc17a29_145">
              <w:r>
                <w:rPr>
                  <w:rStyle w:val="InternetLink"/>
                  <w:rFonts w:ascii="Expensify Neue;sans-serif" w:hAnsi="Expensify Neue;sans-serif"/>
                  <w:b/>
                  <w:strike w:val="false"/>
                  <w:dstrike w:val="false"/>
                  <w:color w:val="03D47C"/>
                  <w:sz w:val="20"/>
                  <w:u w:val="none"/>
                  <w:effect w:val="none"/>
                </w:rPr>
                <w:t>Signatures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a25e56d5847bfbc1802068dc17a29_145">
              <w:r>
                <w:rPr>
                  <w:rStyle w:val="InternetLink"/>
                  <w:rFonts w:ascii="Expensify Neue;sans-serif" w:hAnsi="Expensify Neue;sans-serif"/>
                  <w:b w:val="false"/>
                  <w:strike w:val="false"/>
                  <w:dstrike w:val="false"/>
                  <w:color w:val="03D47C"/>
                  <w:sz w:val="20"/>
                  <w:u w:val="none"/>
                  <w:effect w:val="none"/>
                </w:rPr>
                <w:t>49</w:t>
              </w:r>
            </w:hyperlink>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Special Note Regarding Forward-Looking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Quarterly Report on Form 10-Q contains forward-looking statements about us and our industry that involve substantial risks and uncertainties. We intend such forward-looking statements to be covered by the safe harbor provisions for forward-looking statements contained in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financial performance and future operating performance;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amount and timing of operating expenses that we may incur to maintain and expand our business and operations to remain competitive;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sufficiency of our cash, cash equivalents and investments to meet our liquidity needs;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meet the Nasdaq continued listing requirements for minimum bid price or other Nasdaq listing requirements and the potential delisting of our common stock;</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make required payments under and to comply with the various requirements of our current and future indebtedness;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cash flows, the prevailing stock prices, general economic and market conditions and other considerations that could affect the specific timing, price and size of repurchases under our stock repurchase program or our ability to fund any stock repurchases;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geopolitical tensions, including the war in Ukraine and the conflict in the Middle East;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impact of inflation on us and our members;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borrowing costs, which have and may continue to increase as a result of increases in interest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exposure to fluctuations in foreign currency exchange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size of our addressable markets, market share and market trends;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anticipated trends, developments and challenges in our industry, business and the highly competitive markets in which we operate;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any adverse impact on our business operations as a result of using artificial intelligence or other machine learning technologies in our services;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income tax liabilities and the adequacy of our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24815"/>
                <wp:effectExtent l="0" t="0" r="0" b="0"/>
                <wp:wrapNone/>
                <wp:docPr id="4" name="Frame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growth and expand our infrastructure and maintain our corporate culture;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identify, recruit and retain skilled personnel, including key members of senior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safety, affordability and convenience of our platform and our offerings;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defend litigation brought against us;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identify, manage and integrate any existing and potential acquisitions of businesses, talent, technologies or intellectual property;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conditions in either domestic or international markets, including geopolitical uncertainty and instability, and their effects on software spending;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protect against security incidents, technical difficulties, or interruptions to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protect and enhance our intellectual property;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impact of tariffs and global trade disruptions on us, our customers and our vendors, including the impact on inflation, supply chains and consumer sentiment;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other risks and uncertainties identified under Part I, Item 1A. "Risk Factors" in our Annual Report on Form 10-K for the year ended December 31, 2025 and elsewhere in this Quarterly Report on Form 10-Q.</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Part I, Item 1A. "Risk Factors" and elsewhere in our Annual Report on Form 10-K for the year ended December 31, 2025,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24815"/>
                <wp:effectExtent l="0" t="0" r="0" b="0"/>
                <wp:wrapNone/>
                <wp:docPr id="5" name="Frame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24815"/>
                <wp:effectExtent l="0" t="0" r="0" b="0"/>
                <wp:wrapNone/>
                <wp:docPr id="6" name="Frame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4815"/>
                <wp:effectExtent l="0" t="0" r="0" b="0"/>
                <wp:wrapNone/>
                <wp:docPr id="7" name="Frame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Balance Sheets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and per share data) </w:t>
      </w:r>
    </w:p>
    <w:p>
      <w:pPr>
        <w:pStyle w:val="TextBody"/>
        <w:bidi w:val="0"/>
        <w:spacing w:before="0" w:after="160"/>
        <w:jc w:val="left"/>
        <w:rPr/>
      </w:pPr>
      <w:r>
        <w:rPr/>
      </w:r>
    </w:p>
    <w:tbl>
      <w:tblPr>
        <w:tblW w:w="10205" w:type="dxa"/>
        <w:jc w:val="center"/>
        <w:tblInd w:w="0" w:type="dxa"/>
        <w:tblLayout w:type="fixed"/>
        <w:tblCellMar>
          <w:top w:w="28" w:type="dxa"/>
          <w:left w:w="28" w:type="dxa"/>
          <w:bottom w:w="28" w:type="dxa"/>
          <w:right w:w="28" w:type="dxa"/>
        </w:tblCellMar>
      </w:tblPr>
      <w:tblGrid>
        <w:gridCol w:w="2721"/>
        <w:gridCol w:w="2157"/>
        <w:gridCol w:w="2179"/>
        <w:gridCol w:w="232"/>
        <w:gridCol w:w="974"/>
        <w:gridCol w:w="112"/>
        <w:gridCol w:w="109"/>
        <w:gridCol w:w="109"/>
        <w:gridCol w:w="109"/>
        <w:gridCol w:w="255"/>
        <w:gridCol w:w="1069"/>
        <w:gridCol w:w="179"/>
      </w:tblGrid>
      <w:tr>
        <w:trPr/>
        <w:tc>
          <w:tcPr>
            <w:tcW w:w="272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0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830" w:type="dxa"/>
            <w:gridSpan w:val="6"/>
            <w:tcBorders/>
          </w:tcPr>
          <w:p>
            <w:pPr>
              <w:pStyle w:val="TableContents"/>
              <w:bidi w:val="0"/>
              <w:spacing w:before="0" w:after="283"/>
              <w:jc w:val="left"/>
              <w:rPr>
                <w:sz w:val="4"/>
                <w:szCs w:val="4"/>
              </w:rPr>
            </w:pPr>
            <w:r>
              <w:rPr>
                <w:sz w:val="4"/>
                <w:szCs w:val="4"/>
              </w:rPr>
            </w:r>
          </w:p>
        </w:tc>
      </w:tr>
      <w:tr>
        <w:trPr/>
        <w:tc>
          <w:tcPr>
            <w:tcW w:w="70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Assets</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and cash equivalents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65,760 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63,080 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Accounts receivable, net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11,168 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12,617 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assets, net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51,484 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45,378 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Prepaid expenses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4,399 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5,588 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current assets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26,344 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current assets</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154,191 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153,007 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Capitalized software, net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12,401 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13,596 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Property and equipment, net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12,707 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13,016 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Lease right-of-use assets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4,390 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4,730 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Deferred tax assets, net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494 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assets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185,406 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185,989 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Liabilities and stockholders' equity</w:t>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Accrued expenses and other liabilities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8,064 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17,893 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Lease liabilities, current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liabilities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34,275 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27,545 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current liabilities</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44,096 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46,405 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Lease liabilities, non-current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4,752 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5,061 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liabilities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liabilities</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50,844 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53,244 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Commitments and contingencies (Note 4)</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Stockholders' equity:</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8"/>
              </w:rPr>
            </w:pPr>
            <w:r>
              <w:rPr>
                <w:rFonts w:ascii="Expensify Neue;sans-serif" w:hAnsi="Expensify Neue;sans-serif"/>
                <w:b w:val="false"/>
                <w:color w:val="000000"/>
                <w:sz w:val="18"/>
              </w:rPr>
              <w:t>Preferred stock, par value $0.0001; 10,000,000 shares authorized; no shares issued and outstanding as of June 30, 2026 and December 31, 2025</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8"/>
              </w:rPr>
            </w:pPr>
            <w:r>
              <w:rPr>
                <w:rFonts w:ascii="Expensify Neue;sans-serif" w:hAnsi="Expensify Neue;sans-serif"/>
                <w:b w:val="false"/>
                <w:color w:val="000000"/>
                <w:sz w:val="18"/>
              </w:rPr>
              <w:t>Common stock, par value $0.0001;</w:t>
            </w:r>
          </w:p>
          <w:p>
            <w:pPr>
              <w:pStyle w:val="TableContents"/>
              <w:bidi w:val="0"/>
              <w:spacing w:before="0" w:after="0"/>
              <w:ind w:left="0" w:right="0" w:hanging="180"/>
              <w:jc w:val="left"/>
              <w:rPr/>
            </w:pPr>
            <w:r>
              <w:rPr/>
            </w:r>
          </w:p>
          <w:p>
            <w:pPr>
              <w:pStyle w:val="TableContents"/>
              <w:bidi w:val="0"/>
              <w:spacing w:lineRule="auto" w:line="240" w:before="0" w:after="0"/>
              <w:ind w:left="0" w:right="0" w:hanging="180"/>
              <w:jc w:val="left"/>
              <w:rPr>
                <w:rFonts w:ascii="Expensify Neue;sans-serif" w:hAnsi="Expensify Neue;sans-serif"/>
                <w:b w:val="false"/>
                <w:color w:val="000000"/>
                <w:sz w:val="18"/>
              </w:rPr>
            </w:pPr>
            <w:r>
              <w:rPr>
                <w:rFonts w:ascii="Expensify Neue;sans-serif" w:hAnsi="Expensify Neue;sans-serif"/>
                <w:b w:val="false"/>
                <w:color w:val="000000"/>
                <w:sz w:val="18"/>
              </w:rPr>
              <w:t>Class A common stock; 1,000,000,000 shares authorized; 79,647,207 and 80,767,385 shares issued and outstanding as of June 30, 2026 and December 31, 2025, respectively;</w:t>
            </w:r>
          </w:p>
          <w:p>
            <w:pPr>
              <w:pStyle w:val="TableContents"/>
              <w:bidi w:val="0"/>
              <w:spacing w:before="0" w:after="0"/>
              <w:ind w:left="0" w:right="0" w:hanging="180"/>
              <w:jc w:val="left"/>
              <w:rPr/>
            </w:pPr>
            <w:r>
              <w:rPr/>
            </w:r>
          </w:p>
          <w:p>
            <w:pPr>
              <w:pStyle w:val="TableContents"/>
              <w:bidi w:val="0"/>
              <w:spacing w:lineRule="auto" w:line="240" w:before="0" w:after="0"/>
              <w:ind w:left="0" w:right="0" w:hanging="180"/>
              <w:jc w:val="left"/>
              <w:rPr>
                <w:rFonts w:ascii="Expensify Neue;sans-serif" w:hAnsi="Expensify Neue;sans-serif"/>
                <w:b w:val="false"/>
                <w:color w:val="000000"/>
                <w:sz w:val="18"/>
              </w:rPr>
            </w:pPr>
            <w:r>
              <w:rPr>
                <w:rFonts w:ascii="Expensify Neue;sans-serif" w:hAnsi="Expensify Neue;sans-serif"/>
                <w:b w:val="false"/>
                <w:color w:val="000000"/>
                <w:sz w:val="18"/>
              </w:rPr>
              <w:t>LT10 common stock; 21,871,197 shares authorized; 4,209,827 shares issued and outstanding as of June 30, 2026 and December 31, 2025;</w:t>
            </w:r>
          </w:p>
          <w:p>
            <w:pPr>
              <w:pStyle w:val="TableContents"/>
              <w:bidi w:val="0"/>
              <w:spacing w:before="0" w:after="0"/>
              <w:ind w:left="0" w:right="0" w:hanging="180"/>
              <w:jc w:val="left"/>
              <w:rPr/>
            </w:pPr>
            <w:r>
              <w:rPr/>
            </w:r>
          </w:p>
          <w:p>
            <w:pPr>
              <w:pStyle w:val="TableContents"/>
              <w:bidi w:val="0"/>
              <w:spacing w:lineRule="auto" w:line="240" w:before="0" w:after="0"/>
              <w:ind w:left="0" w:right="0" w:hanging="180"/>
              <w:jc w:val="left"/>
              <w:rPr>
                <w:rFonts w:ascii="Expensify Neue;sans-serif" w:hAnsi="Expensify Neue;sans-serif"/>
                <w:b w:val="false"/>
                <w:color w:val="000000"/>
                <w:sz w:val="18"/>
              </w:rPr>
            </w:pPr>
            <w:r>
              <w:rPr>
                <w:rFonts w:ascii="Expensify Neue;sans-serif" w:hAnsi="Expensify Neue;sans-serif"/>
                <w:b w:val="false"/>
                <w:color w:val="000000"/>
                <w:sz w:val="18"/>
              </w:rPr>
              <w:t>LT50 common stock; 24,893,067 and 24,967,114 shares authorized as of June 30, 2026 and December 31, 2025, respectively; 8,040,033 and 8,083,690 shares issued and outstanding as of June 30, 2026 and December 31, 2025, respectively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Additional paid-in capital</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312,958 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304,953 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Accumulated deficit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(178,405)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(172,217)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stockholders' equity</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134,562 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132,745 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liabilities and stockholders' equity</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185,406 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185,989 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54430"/>
                <wp:effectExtent l="0" t="0" r="0" b="0"/>
                <wp:wrapNone/>
                <wp:docPr id="8" name="Frame7"/>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Operations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and per share data)</w:t>
      </w:r>
    </w:p>
    <w:p>
      <w:pPr>
        <w:pStyle w:val="TextBody"/>
        <w:bidi w:val="0"/>
        <w:spacing w:before="0" w:after="160"/>
        <w:jc w:val="left"/>
        <w:rPr/>
      </w:pPr>
      <w:r>
        <w:rPr/>
      </w:r>
    </w:p>
    <w:tbl>
      <w:tblPr>
        <w:tblW w:w="10205" w:type="dxa"/>
        <w:jc w:val="center"/>
        <w:tblInd w:w="0" w:type="dxa"/>
        <w:tblLayout w:type="fixed"/>
        <w:tblCellMar>
          <w:top w:w="28" w:type="dxa"/>
          <w:left w:w="28" w:type="dxa"/>
          <w:bottom w:w="28" w:type="dxa"/>
          <w:right w:w="28" w:type="dxa"/>
        </w:tblCellMar>
      </w:tblPr>
      <w:tblGrid>
        <w:gridCol w:w="1569"/>
        <w:gridCol w:w="1086"/>
        <w:gridCol w:w="1089"/>
        <w:gridCol w:w="267"/>
        <w:gridCol w:w="979"/>
        <w:gridCol w:w="111"/>
        <w:gridCol w:w="111"/>
        <w:gridCol w:w="111"/>
        <w:gridCol w:w="111"/>
        <w:gridCol w:w="267"/>
        <w:gridCol w:w="979"/>
        <w:gridCol w:w="111"/>
        <w:gridCol w:w="109"/>
        <w:gridCol w:w="109"/>
        <w:gridCol w:w="109"/>
        <w:gridCol w:w="267"/>
        <w:gridCol w:w="979"/>
        <w:gridCol w:w="109"/>
        <w:gridCol w:w="109"/>
        <w:gridCol w:w="109"/>
        <w:gridCol w:w="109"/>
        <w:gridCol w:w="263"/>
        <w:gridCol w:w="983"/>
        <w:gridCol w:w="159"/>
      </w:tblGrid>
      <w:tr>
        <w:trPr/>
        <w:tc>
          <w:tcPr>
            <w:tcW w:w="156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 net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35,764 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71,838 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35,019 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16,330 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18,577 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36,819 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19,251 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28,915 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48,644 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(2,921)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(11,825)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(2,719)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(9,449)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(10,612)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benefit from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(8,788)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(11,957)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(0.13)</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95,441,380 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92,271,924 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94,585,048 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91,888,633 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54430"/>
                <wp:effectExtent l="0" t="0" r="0" b="0"/>
                <wp:wrapNone/>
                <wp:docPr id="9" name="Frame8"/>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240" w:after="283"/>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pPr>
      <w:r>
        <w:rPr>
          <w:rFonts w:ascii="Expensify Neue;sans-serif" w:hAnsi="Expensify Neue;sans-serif"/>
          <w:b/>
          <w:color w:val="000000"/>
          <w:sz w:val="24"/>
        </w:rPr>
        <w:t>Condensed Consolidated Statements of Changes in Stockholders’ Equity</w:t>
        <w:br/>
      </w:r>
      <w:r>
        <w:rPr>
          <w:rFonts w:ascii="Expensify Neue;sans-serif" w:hAnsi="Expensify Neue;sans-serif"/>
          <w:b/>
          <w:color w:val="000000"/>
          <w:sz w:val="20"/>
        </w:rPr>
        <w:t>(unaudited, in thousands, except share data)</w:t>
      </w:r>
    </w:p>
    <w:tbl>
      <w:tblPr>
        <w:tblW w:w="11848" w:type="dxa"/>
        <w:jc w:val="left"/>
        <w:tblInd w:w="0" w:type="dxa"/>
        <w:tblLayout w:type="fixed"/>
        <w:tblCellMar>
          <w:top w:w="28" w:type="dxa"/>
          <w:left w:w="28" w:type="dxa"/>
          <w:bottom w:w="28" w:type="dxa"/>
          <w:right w:w="28" w:type="dxa"/>
        </w:tblCellMar>
      </w:tblPr>
      <w:tblGrid>
        <w:gridCol w:w="106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256"/>
        <w:gridCol w:w="460"/>
        <w:gridCol w:w="125"/>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10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Total stockholders' equity</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June 30, 2026</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March 31, 2026</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96,432,743 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(174,554)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138,528 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of liability-classified restricted common shares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269,003 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the Matching Plan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1,620,991 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1,455 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333,682 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(6,765,040)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(9,225)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7,650 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(3,851)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2026</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91,897,067 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312,958 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(178,405)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134,562 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54430"/>
                <wp:effectExtent l="0" t="0" r="0" b="0"/>
                <wp:wrapNone/>
                <wp:docPr id="10" name="Frame9"/>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240" w:after="283"/>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pPr>
      <w:r>
        <w:rPr>
          <w:rFonts w:ascii="Expensify Neue;sans-serif" w:hAnsi="Expensify Neue;sans-serif"/>
          <w:b/>
          <w:color w:val="000000"/>
          <w:sz w:val="24"/>
        </w:rPr>
        <w:t>Condensed Consolidated Statements of Changes in Stockholders’ Equity</w:t>
        <w:br/>
      </w:r>
      <w:r>
        <w:rPr>
          <w:rFonts w:ascii="Expensify Neue;sans-serif" w:hAnsi="Expensify Neue;sans-serif"/>
          <w:b/>
          <w:color w:val="000000"/>
          <w:sz w:val="20"/>
        </w:rPr>
        <w:t>(unaudited, in thousands, except share data)</w:t>
      </w:r>
    </w:p>
    <w:tbl>
      <w:tblPr>
        <w:tblW w:w="11848" w:type="dxa"/>
        <w:jc w:val="left"/>
        <w:tblInd w:w="0" w:type="dxa"/>
        <w:tblLayout w:type="fixed"/>
        <w:tblCellMar>
          <w:top w:w="28" w:type="dxa"/>
          <w:left w:w="28" w:type="dxa"/>
          <w:bottom w:w="28" w:type="dxa"/>
          <w:right w:w="28" w:type="dxa"/>
        </w:tblCellMar>
      </w:tblPr>
      <w:tblGrid>
        <w:gridCol w:w="106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10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Total stockholders' equity</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June 30, 2025</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March 31, 2025</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92,383,667 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(153,997)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134,651 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20,793 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1,515 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of liability-classified restricted common shares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144,820 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the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954,258 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1,459 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427,493 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(1,285,336)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(3,026)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7,463 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(8,788)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2025</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92,647,210 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294,591 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(162,785)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131,815 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54430"/>
                <wp:effectExtent l="0" t="0" r="0" b="0"/>
                <wp:wrapNone/>
                <wp:docPr id="11" name="Frame10"/>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240" w:after="283"/>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pPr>
      <w:r>
        <w:rPr>
          <w:rFonts w:ascii="Expensify Neue;sans-serif" w:hAnsi="Expensify Neue;sans-serif"/>
          <w:b/>
          <w:color w:val="000000"/>
          <w:sz w:val="24"/>
        </w:rPr>
        <w:t>Condensed Consolidated Statements of Changes in Stockholders’ Equity</w:t>
        <w:br/>
      </w:r>
      <w:r>
        <w:rPr>
          <w:rFonts w:ascii="Expensify Neue;sans-serif" w:hAnsi="Expensify Neue;sans-serif"/>
          <w:b/>
          <w:color w:val="000000"/>
          <w:sz w:val="20"/>
        </w:rPr>
        <w:t>(unaudited, in thousands, except share data)</w:t>
      </w:r>
    </w:p>
    <w:tbl>
      <w:tblPr>
        <w:tblW w:w="11848" w:type="dxa"/>
        <w:jc w:val="left"/>
        <w:tblInd w:w="0" w:type="dxa"/>
        <w:tblLayout w:type="fixed"/>
        <w:tblCellMar>
          <w:top w:w="28" w:type="dxa"/>
          <w:left w:w="28" w:type="dxa"/>
          <w:bottom w:w="28" w:type="dxa"/>
          <w:right w:w="28" w:type="dxa"/>
        </w:tblCellMar>
      </w:tblPr>
      <w:tblGrid>
        <w:gridCol w:w="106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10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Total stockholders' equity</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Six months ended June 30, 2026</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2025</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93,060,902 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(172,217)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132,745 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44,071 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8,644 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of liability-classified restricted common shares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728,589 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the Matching Plan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4,303,033 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3,283 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516,868 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(6,765,040)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(9,225)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13,898 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2026</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91,897,067 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312,958 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(178,405)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134,562 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54430"/>
                <wp:effectExtent l="0" t="0" r="0" b="0"/>
                <wp:wrapNone/>
                <wp:docPr id="12" name="Frame11"/>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240" w:after="283"/>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pPr>
      <w:r>
        <w:rPr>
          <w:rFonts w:ascii="Expensify Neue;sans-serif" w:hAnsi="Expensify Neue;sans-serif"/>
          <w:b/>
          <w:color w:val="000000"/>
          <w:sz w:val="24"/>
        </w:rPr>
        <w:t>Condensed Consolidated Statements of Changes in Stockholders’ Equity</w:t>
        <w:br/>
      </w:r>
      <w:r>
        <w:rPr>
          <w:rFonts w:ascii="Expensify Neue;sans-serif" w:hAnsi="Expensify Neue;sans-serif"/>
          <w:b/>
          <w:color w:val="000000"/>
          <w:sz w:val="20"/>
        </w:rPr>
        <w:t>(unaudited, in thousands, except share data)</w:t>
      </w:r>
    </w:p>
    <w:tbl>
      <w:tblPr>
        <w:tblW w:w="11848" w:type="dxa"/>
        <w:jc w:val="left"/>
        <w:tblInd w:w="0" w:type="dxa"/>
        <w:tblLayout w:type="fixed"/>
        <w:tblCellMar>
          <w:top w:w="28" w:type="dxa"/>
          <w:left w:w="28" w:type="dxa"/>
          <w:bottom w:w="28" w:type="dxa"/>
          <w:right w:w="28" w:type="dxa"/>
        </w:tblCellMar>
      </w:tblPr>
      <w:tblGrid>
        <w:gridCol w:w="106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10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Total stockholders' equity</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Six months ended June 30, 2025</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2024</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91,376,765 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(150,828)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128,243 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96,082 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6,472 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of liability-classified restricted common shares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144,820 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the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1,683,744 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2,610 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624,663 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(1,285,336)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(3,026)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15,692 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(11,957)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2025</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92,647,210 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294,591 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(162,785)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131,815 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54430"/>
                <wp:effectExtent l="0" t="0" r="0" b="0"/>
                <wp:wrapNone/>
                <wp:docPr id="13" name="Frame12"/>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240" w:after="283"/>
        <w:jc w:val="both"/>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Cash Flows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243"/>
        <w:gridCol w:w="1848"/>
        <w:gridCol w:w="1860"/>
        <w:gridCol w:w="109"/>
        <w:gridCol w:w="109"/>
        <w:gridCol w:w="173"/>
        <w:gridCol w:w="173"/>
        <w:gridCol w:w="358"/>
        <w:gridCol w:w="1502"/>
        <w:gridCol w:w="173"/>
        <w:gridCol w:w="109"/>
        <w:gridCol w:w="109"/>
        <w:gridCol w:w="109"/>
        <w:gridCol w:w="226"/>
        <w:gridCol w:w="946"/>
        <w:gridCol w:w="158"/>
      </w:tblGrid>
      <w:tr>
        <w:trPr/>
        <w:tc>
          <w:tcPr>
            <w:tcW w:w="22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9"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Six Months Ended June 30,</w:t>
            </w:r>
          </w:p>
        </w:tc>
        <w:tc>
          <w:tcPr>
            <w:tcW w:w="1657" w:type="dxa"/>
            <w:gridSpan w:val="6"/>
            <w:tcBorders/>
          </w:tcPr>
          <w:p>
            <w:pPr>
              <w:pStyle w:val="TableContents"/>
              <w:bidi w:val="0"/>
              <w:spacing w:before="0" w:after="283"/>
              <w:jc w:val="left"/>
              <w:rPr>
                <w:sz w:val="4"/>
                <w:szCs w:val="4"/>
              </w:rPr>
            </w:pPr>
            <w:r>
              <w:rPr>
                <w:sz w:val="4"/>
                <w:szCs w:val="4"/>
              </w:rPr>
            </w:r>
          </w:p>
        </w:tc>
      </w:tr>
      <w:tr>
        <w:trPr/>
        <w:tc>
          <w:tcPr>
            <w:tcW w:w="5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2025</w:t>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(11,957)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Adjustments to reconcile net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4,041 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Reduction of 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Loss on impairment, receivables and sale or disposal of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13,188 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14,917 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Changes in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(5,994)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9,565 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6,525 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(2,186)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1,336 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(9,995)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962 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4,947 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8,551 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16,040 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(2,491)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(1,672)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Expensify Neue;sans-serif" w:hAnsi="Expensify Neue;sans-serif"/>
                <w:b w:val="false"/>
                <w:color w:val="000000"/>
                <w:sz w:val="18"/>
              </w:rPr>
            </w:pPr>
            <w:r>
              <w:rPr>
                <w:rFonts w:ascii="Expensify Neue;sans-serif" w:hAnsi="Expensify Neue;sans-serif"/>
                <w:b w:val="false"/>
                <w:color w:val="000000"/>
                <w:sz w:val="18"/>
              </w:rPr>
              <w:t>Change in customer funds,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(2,319)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Principal payments of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Payments for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Proceeds from common stock purchased under the Matching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2,610 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Proceeds from 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(8,451)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(3,026)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(1,066)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(2,774)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increase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4,994 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11,594 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and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104,624 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90,834 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and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109,618 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102,428 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5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Noncash investing and financing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 capitalized as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775 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and retirement of common stock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54430"/>
                <wp:effectExtent l="0" t="0" r="0" b="0"/>
                <wp:wrapNone/>
                <wp:docPr id="14" name="Frame13"/>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240" w:after="283"/>
        <w:jc w:val="both"/>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Cash Flows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606"/>
        <w:gridCol w:w="2111"/>
        <w:gridCol w:w="2117"/>
        <w:gridCol w:w="109"/>
        <w:gridCol w:w="109"/>
        <w:gridCol w:w="109"/>
        <w:gridCol w:w="109"/>
        <w:gridCol w:w="226"/>
        <w:gridCol w:w="946"/>
        <w:gridCol w:w="109"/>
        <w:gridCol w:w="109"/>
        <w:gridCol w:w="109"/>
        <w:gridCol w:w="109"/>
        <w:gridCol w:w="226"/>
        <w:gridCol w:w="946"/>
        <w:gridCol w:w="155"/>
      </w:tblGrid>
      <w:tr>
        <w:trPr/>
        <w:tc>
          <w:tcPr>
            <w:tcW w:w="2606"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Purchases of property and equipment and capitalized software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Fair value of common stock issued to settle liability-classified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Reconciliation of cash and cash equivalents and restricted cash to the Condensed Consolidated 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60,519 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Restricted cash included in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Restricted cash included in settlement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20,777 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109,618 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102,428 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54430"/>
                <wp:effectExtent l="0" t="0" r="0" b="0"/>
                <wp:wrapNone/>
                <wp:docPr id="15" name="Frame14"/>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9929" w:type="dxa"/>
                        <w:jc w:val="center"/>
                        <w:tblInd w:w="0" w:type="dxa"/>
                        <w:tblLayout w:type="fixed"/>
                        <w:tblCellMar>
                          <w:top w:w="28" w:type="dxa"/>
                          <w:left w:w="28" w:type="dxa"/>
                          <w:bottom w:w="28" w:type="dxa"/>
                          <w:right w:w="28" w:type="dxa"/>
                        </w:tblCellMar>
                      </w:tblPr>
                      <w:tblGrid>
                        <w:gridCol w:w="1179"/>
                        <w:gridCol w:w="1036"/>
                        <w:gridCol w:w="1036"/>
                        <w:gridCol w:w="1036"/>
                        <w:gridCol w:w="1036"/>
                        <w:gridCol w:w="1036"/>
                        <w:gridCol w:w="1036"/>
                        <w:gridCol w:w="1036"/>
                        <w:gridCol w:w="149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9929"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condensed consolidated financial statements.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1 – GENERAL INFORMATION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Description of the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and enterprises primarily on a per-active-member basis. Expensify has subsidiaries in the United States ("U.S."), Australia, Canada, Netherlands and the United Kingdom ("UK").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also offers an Expensify charge card (the "Expensify Card"), which is primarily distributed to corporate customers in the U.S. who subsequently distribute the card to their employees for business use. The Expensify Card allows customers to have real-time control over their employees' spending and compliance with spending limits in addition to eReceipt reporting on purchases.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Notice of Delisting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April 17, 2026, the Company received a deficiency letter from the Nasdaq Listing Qualifications Department of The Nasdaq Stock Market LLC (“Nasdaq”) notifying the Company that, for the last 30 consecutive business days, the closing bid price for the Company’s Class A common stock had been below the minimum $1.00 per share required for continued listing on The Nasdaq Global Select Market pursuant to Nasdaq Listing Rule 5450(a)(1) (the “Minimum Bid Price Requirement”).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28, 2026, the Company was notified by Nasdaq that it had regained compliance with the Minimum Bid Price Requirement and that Nasdaq considers this matter closed.</w:t>
      </w:r>
    </w:p>
    <w:p>
      <w:pPr>
        <w:pStyle w:val="TextBody"/>
        <w:bidi w:val="0"/>
        <w:spacing w:lineRule="auto" w:line="288" w:before="0" w:after="160"/>
        <w:jc w:val="left"/>
        <w:rPr/>
      </w:pPr>
      <w:r>
        <w:rPr>
          <w:rFonts w:ascii="Expensify Neue;sans-serif" w:hAnsi="Expensify Neue;sans-serif"/>
          <w:b/>
          <w:color w:val="000000"/>
          <w:sz w:val="20"/>
        </w:rPr>
        <w:t>Basis of Presentation and Principles of Consolidation</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accompanying condensed consolidated financial statements include the accounts of Expensify, its wholly-owned subsidiaries, and Expensify.org (collectively,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2025 ("2025 Annual Report").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Results of operations for the three and six months ended June 30, 2026 are not necessarily indicative of the results that may be expected for the year ending December 31, 2026 or for any other future annual or interim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Use of Estimates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Estimates and assumptions by management affect the Company’s classification of employee and employee-related expenses, the useful lives and recoverability of long-lived assets, income taxes, capitalization of internal-use software costs, and stock-based compensation.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Updates to Significant Accounting Policies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Company’s significant accounting policies are discussed in Note 2 of the 2025 Annual Report. Since the date the 2025 Annual Report was filed with the SEC, other than the updates made below to Settlement Assets, Net and Liabilities and Allowance for Expected Credit Losses, there have been no material changes to the Company's significant accounting policies, including the adoption status of recent accounting pronouncements.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Settlement Assets, Net and Liabilities and Allowance for Expected Credit Losses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Upon an approved request for expense reimbursement from customers, the Company initiates a transaction facilitated by a third-party vendor to collect funds from customers that are deposited into a commercial bank account held by the Company for the benefit of the customers until remitted to the customer’s members after a clearing period of up to three business days. The Company records a settlement receivable upon approval of the expense reimbursement until funds are cleared in the Company’s commercial bank account. A corresponding liability is recorded upon approval of the expense reimbursement until funds are remitted from the Company’s commercial bank account to the customer’s members. Changes in settlement receivables and liabilities for expense reimbursements are presented as financing activities as the Change in customer funds, net on the Condensed Consolidated Statements of Cash Flows based on the nature of the activity underlying the Company’s customer accounts.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customer transactions incurred through the Expensify Card, the Company initiates a transaction facilitated by a third-party vendor to collect funds from customers that are deposited into a commercial bank account held by the Company. The majority of customers settle Expensify Card transactions on a daily basis while certain customers settle Expensify Card transactions on a monthly basis. The Company records a settlement receivable from customers for Expensify Card transactions until funds are cleared in the Company’s commercial bank account. A liability is recorded for Expensify Card transactions until funds are remitted to the issuing bank. Changes in settlement receivables and liabilities for customer transactions incurred through the Expensify Card are presented as operating activities on the Condensed Consolidated Statements of Cash Flows based on the nature of the activity underlying the Company’s customer accounts.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Settlement receivables are recorded net of an allowance for expected credit losses. The allowance for expected credit losses is based on the Company’s assessment of the collectability of the settlement receivables. Management considers the following factors when determining the collectability of specific customer accounts: customer creditworthiness, past transaction history with the customer, current economic industry trends and changes in customer settlement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revised the consolidated statement of cash flows for 2025 starting in the first quarter of 2026 and subsequent filings for the classification of changes in reimbursement related settlement assets and liabilities. As a result of the revision, cash provided by operating activities and net cash used in financing activities increased by $2.3 million for the six months ended June 30, 2025. This revision was deemed to be immaterial to the condensed consolidated financial statements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2 – REVENUE, NET AND CERTAIN STATEMENT OF OPERATIONS COMPONENTS</w:t>
      </w:r>
    </w:p>
    <w:p>
      <w:pPr>
        <w:pStyle w:val="TextBody"/>
        <w:bidi w:val="0"/>
        <w:spacing w:lineRule="auto" w:line="288" w:before="0" w:after="160"/>
        <w:jc w:val="left"/>
        <w:rPr/>
      </w:pPr>
      <w:r>
        <w:rPr>
          <w:rFonts w:ascii="Expensify Neue;sans-serif" w:hAnsi="Expensify Neue;sans-serif"/>
          <w:b/>
          <w:color w:val="000000"/>
          <w:sz w:val="20"/>
        </w:rPr>
        <w:t>Disaggregation of Revenue, Net</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table below provides information about disaggregated revenue, net from customers (in thousands). </w:t>
      </w:r>
      <w:r>
        <w:rPr>
          <w:rFonts w:ascii="Expensify Neue;sans-serif" w:hAnsi="Expensify Neue;sans-serif"/>
          <w:b w:val="false"/>
          <w:color w:val="000000"/>
          <w:sz w:val="20"/>
        </w:rPr>
        <w:t>No individual customer represented more than 10% of the Company’s total revenue, net during each of the three and six months ended June 30, 2026 and 2025.</w:t>
      </w:r>
    </w:p>
    <w:tbl>
      <w:tblPr>
        <w:tblW w:w="7785" w:type="dxa"/>
        <w:jc w:val="left"/>
        <w:tblInd w:w="0" w:type="dxa"/>
        <w:tblLayout w:type="fixed"/>
        <w:tblCellMar>
          <w:top w:w="28" w:type="dxa"/>
          <w:left w:w="28" w:type="dxa"/>
          <w:bottom w:w="28" w:type="dxa"/>
          <w:right w:w="28" w:type="dxa"/>
        </w:tblCellMar>
      </w:tblPr>
      <w:tblGrid>
        <w:gridCol w:w="689"/>
        <w:gridCol w:w="607"/>
        <w:gridCol w:w="609"/>
        <w:gridCol w:w="244"/>
        <w:gridCol w:w="893"/>
        <w:gridCol w:w="117"/>
        <w:gridCol w:w="117"/>
        <w:gridCol w:w="117"/>
        <w:gridCol w:w="117"/>
        <w:gridCol w:w="244"/>
        <w:gridCol w:w="893"/>
        <w:gridCol w:w="117"/>
        <w:gridCol w:w="109"/>
        <w:gridCol w:w="109"/>
        <w:gridCol w:w="109"/>
        <w:gridCol w:w="226"/>
        <w:gridCol w:w="826"/>
        <w:gridCol w:w="109"/>
        <w:gridCol w:w="109"/>
        <w:gridCol w:w="109"/>
        <w:gridCol w:w="109"/>
        <w:gridCol w:w="226"/>
        <w:gridCol w:w="82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Subscription fees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30,770 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32,864 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Interchange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 net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33,866 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35,764 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table below provides the Company's total revenue, net by geographic region based on the transaction currency (in thousands). No other individual country outside of the United States accounted for more than 10% of total revenue, net during each of the three and six months ended June 30, 2026 and 2025. </w:t>
      </w:r>
    </w:p>
    <w:tbl>
      <w:tblPr>
        <w:tblW w:w="7785" w:type="dxa"/>
        <w:jc w:val="left"/>
        <w:tblInd w:w="0" w:type="dxa"/>
        <w:tblLayout w:type="fixed"/>
        <w:tblCellMar>
          <w:top w:w="28" w:type="dxa"/>
          <w:left w:w="28" w:type="dxa"/>
          <w:bottom w:w="28" w:type="dxa"/>
          <w:right w:w="28" w:type="dxa"/>
        </w:tblCellMar>
      </w:tblPr>
      <w:tblGrid>
        <w:gridCol w:w="689"/>
        <w:gridCol w:w="607"/>
        <w:gridCol w:w="609"/>
        <w:gridCol w:w="244"/>
        <w:gridCol w:w="893"/>
        <w:gridCol w:w="117"/>
        <w:gridCol w:w="117"/>
        <w:gridCol w:w="117"/>
        <w:gridCol w:w="117"/>
        <w:gridCol w:w="244"/>
        <w:gridCol w:w="893"/>
        <w:gridCol w:w="117"/>
        <w:gridCol w:w="109"/>
        <w:gridCol w:w="109"/>
        <w:gridCol w:w="109"/>
        <w:gridCol w:w="226"/>
        <w:gridCol w:w="826"/>
        <w:gridCol w:w="109"/>
        <w:gridCol w:w="109"/>
        <w:gridCol w:w="109"/>
        <w:gridCol w:w="109"/>
        <w:gridCol w:w="226"/>
        <w:gridCol w:w="82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States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30,717 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32,609 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All other locations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 net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33,866 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35,764 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shd w:fill="FFFFFF" w:val="clear"/>
        </w:rPr>
        <w:t>Consideration From a Vendor</w:t>
      </w:r>
      <w:r>
        <w:rPr>
          <w:color w:val="000000"/>
          <w:shd w:fill="FFFFFF" w:val="clear"/>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Expensify Card program, the Company receives consideration from a vendor for certain volume-based incentives from Visa, which are included as a reduction to Cost of revenue, net on the Condensed Consolidated Statements of Operations as earned. The amounts earned under these volume-based incentives were $0.2 million and $0.8 million for the three months ended June 30, 2026 and 2025, respectively. The amounts earned under these volume-based incentives were $0.5 million and $1.0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3 – CERTAIN BALANCE SHEET COMPONENTS</w:t>
      </w:r>
    </w:p>
    <w:p>
      <w:pPr>
        <w:pStyle w:val="TextBody"/>
        <w:bidi w:val="0"/>
        <w:spacing w:lineRule="auto" w:line="288" w:before="0" w:after="160"/>
        <w:jc w:val="left"/>
        <w:rPr/>
      </w:pPr>
      <w:r>
        <w:rPr>
          <w:rFonts w:ascii="Expensify Neue;sans-serif" w:hAnsi="Expensify Neue;sans-serif"/>
          <w:b/>
          <w:color w:val="000000"/>
          <w:sz w:val="20"/>
        </w:rPr>
        <w:t>Other Current Assets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 consisted of the following (in thousands):</w:t>
      </w:r>
    </w:p>
    <w:tbl>
      <w:tblPr>
        <w:tblW w:w="9835" w:type="dxa"/>
        <w:jc w:val="center"/>
        <w:tblInd w:w="0" w:type="dxa"/>
        <w:tblLayout w:type="fixed"/>
        <w:tblCellMar>
          <w:top w:w="28" w:type="dxa"/>
          <w:left w:w="28" w:type="dxa"/>
          <w:bottom w:w="28" w:type="dxa"/>
          <w:right w:w="28" w:type="dxa"/>
        </w:tblCellMar>
      </w:tblPr>
      <w:tblGrid>
        <w:gridCol w:w="2210"/>
        <w:gridCol w:w="1942"/>
        <w:gridCol w:w="1953"/>
        <w:gridCol w:w="277"/>
        <w:gridCol w:w="1014"/>
        <w:gridCol w:w="133"/>
        <w:gridCol w:w="109"/>
        <w:gridCol w:w="109"/>
        <w:gridCol w:w="109"/>
        <w:gridCol w:w="371"/>
        <w:gridCol w:w="1356"/>
        <w:gridCol w:w="252"/>
      </w:tblGrid>
      <w:tr>
        <w:trPr/>
        <w:tc>
          <w:tcPr>
            <w:tcW w:w="221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306" w:type="dxa"/>
            <w:gridSpan w:val="6"/>
            <w:tcBorders/>
          </w:tcPr>
          <w:p>
            <w:pPr>
              <w:pStyle w:val="TableContents"/>
              <w:bidi w:val="0"/>
              <w:spacing w:before="0" w:after="283"/>
              <w:jc w:val="left"/>
              <w:rPr>
                <w:sz w:val="4"/>
                <w:szCs w:val="4"/>
              </w:rPr>
            </w:pPr>
            <w:r>
              <w:rPr>
                <w:sz w:val="4"/>
                <w:szCs w:val="4"/>
              </w:rPr>
            </w:r>
          </w:p>
        </w:tc>
      </w:tr>
      <w:tr>
        <w:trPr/>
        <w:tc>
          <w:tcPr>
            <w:tcW w:w="61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Card posted collateral for funds held for customers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10,530 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Expensify.org restricted cash</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6,181 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Earned interchange restricted cash</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contract acquisition costs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 receivable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restricted cash</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Expected insurance recoveries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6,710 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21,380 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26,344 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Capitalized Software,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 consisted of the following (in thousands):</w:t>
      </w:r>
    </w:p>
    <w:tbl>
      <w:tblPr>
        <w:tblW w:w="7780" w:type="dxa"/>
        <w:jc w:val="center"/>
        <w:tblInd w:w="0" w:type="dxa"/>
        <w:tblLayout w:type="fixed"/>
        <w:tblCellMar>
          <w:top w:w="28" w:type="dxa"/>
          <w:left w:w="28" w:type="dxa"/>
          <w:bottom w:w="28" w:type="dxa"/>
          <w:right w:w="28" w:type="dxa"/>
        </w:tblCellMar>
      </w:tblPr>
      <w:tblGrid>
        <w:gridCol w:w="1467"/>
        <w:gridCol w:w="1289"/>
        <w:gridCol w:w="1294"/>
        <w:gridCol w:w="277"/>
        <w:gridCol w:w="1014"/>
        <w:gridCol w:w="133"/>
        <w:gridCol w:w="109"/>
        <w:gridCol w:w="109"/>
        <w:gridCol w:w="109"/>
        <w:gridCol w:w="371"/>
        <w:gridCol w:w="1356"/>
        <w:gridCol w:w="252"/>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306" w:type="dxa"/>
            <w:gridSpan w:val="6"/>
            <w:tcBorders/>
          </w:tcPr>
          <w:p>
            <w:pPr>
              <w:pStyle w:val="TableContents"/>
              <w:bidi w:val="0"/>
              <w:spacing w:before="0" w:after="283"/>
              <w:jc w:val="left"/>
              <w:rPr>
                <w:sz w:val="4"/>
                <w:szCs w:val="4"/>
              </w:rPr>
            </w:pPr>
            <w:r>
              <w:rPr>
                <w:sz w:val="4"/>
                <w:szCs w:val="4"/>
              </w:rPr>
            </w:r>
          </w:p>
        </w:tc>
      </w:tr>
      <w:tr>
        <w:trPr/>
        <w:tc>
          <w:tcPr>
            <w:tcW w:w="4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39,420 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36,393 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accumulated amortization</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(22,797)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13,596 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Amortization expense related to capitalized software development costs is recorded in Cost of revenue, net on the Condensed Consolidated Statements of Operations. Amortization expense was $2.2 million and $1.9 million for the three months ended June 30, 2026 and 2025, respectively. Amortization expense was $4.2 million and $3.7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Property and Equipment,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consisted of the following (in thousands):</w:t>
      </w:r>
    </w:p>
    <w:tbl>
      <w:tblPr>
        <w:tblW w:w="6939" w:type="dxa"/>
        <w:jc w:val="left"/>
        <w:tblInd w:w="0" w:type="dxa"/>
        <w:tblLayout w:type="fixed"/>
        <w:tblCellMar>
          <w:top w:w="28" w:type="dxa"/>
          <w:left w:w="28" w:type="dxa"/>
          <w:bottom w:w="28" w:type="dxa"/>
          <w:right w:w="28" w:type="dxa"/>
        </w:tblCellMar>
      </w:tblPr>
      <w:tblGrid>
        <w:gridCol w:w="1163"/>
        <w:gridCol w:w="1020"/>
        <w:gridCol w:w="1026"/>
        <w:gridCol w:w="277"/>
        <w:gridCol w:w="1014"/>
        <w:gridCol w:w="133"/>
        <w:gridCol w:w="109"/>
        <w:gridCol w:w="109"/>
        <w:gridCol w:w="109"/>
        <w:gridCol w:w="371"/>
        <w:gridCol w:w="1356"/>
        <w:gridCol w:w="25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306" w:type="dxa"/>
            <w:gridSpan w:val="6"/>
            <w:tcBorders/>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Computers and equipment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Furniture and fixtures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1,889 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Leasehold improvements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7,791 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Commercial building</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9,209 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Land</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property and equipment</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23,164 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23,205 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accumulated depreciation</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(10,457)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(10,189)</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12,707 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13,016 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Depreciation expense related to property and equipment is recorded in General and administrative, Sales and marketing, and Other income, net on the Condensed Consolidated Statements of Operations. Depreciation expense related to property and equipment was $0.2 million and $0.1 million for the three months ended June 30, 2026 and 2025, respectively. Depreciation expense was $0.3 million for each of the six months ended June 30, 2026 and 2025.</w:t>
      </w:r>
    </w:p>
    <w:p>
      <w:pPr>
        <w:pStyle w:val="TextBody"/>
        <w:bidi w:val="0"/>
        <w:spacing w:lineRule="auto" w:line="288" w:before="0" w:after="160"/>
        <w:jc w:val="left"/>
        <w:rPr/>
      </w:pPr>
      <w:r>
        <w:rPr>
          <w:rFonts w:ascii="Expensify Neue;sans-serif" w:hAnsi="Expensify Neue;sans-serif"/>
          <w:b/>
          <w:color w:val="000000"/>
          <w:sz w:val="20"/>
        </w:rPr>
        <w:t>Accrued Expenses and Other Liabilities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 consisted of the following (in thousands):</w:t>
      </w:r>
    </w:p>
    <w:tbl>
      <w:tblPr>
        <w:tblW w:w="7720" w:type="dxa"/>
        <w:jc w:val="center"/>
        <w:tblInd w:w="0" w:type="dxa"/>
        <w:tblLayout w:type="fixed"/>
        <w:tblCellMar>
          <w:top w:w="28" w:type="dxa"/>
          <w:left w:w="28" w:type="dxa"/>
          <w:bottom w:w="28" w:type="dxa"/>
          <w:right w:w="28" w:type="dxa"/>
        </w:tblCellMar>
      </w:tblPr>
      <w:tblGrid>
        <w:gridCol w:w="1443"/>
        <w:gridCol w:w="1271"/>
        <w:gridCol w:w="1275"/>
        <w:gridCol w:w="309"/>
        <w:gridCol w:w="967"/>
        <w:gridCol w:w="149"/>
        <w:gridCol w:w="109"/>
        <w:gridCol w:w="109"/>
        <w:gridCol w:w="109"/>
        <w:gridCol w:w="371"/>
        <w:gridCol w:w="1356"/>
        <w:gridCol w:w="252"/>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2306" w:type="dxa"/>
            <w:gridSpan w:val="6"/>
            <w:tcBorders/>
          </w:tcPr>
          <w:p>
            <w:pPr>
              <w:pStyle w:val="TableContents"/>
              <w:bidi w:val="0"/>
              <w:spacing w:before="0" w:after="283"/>
              <w:jc w:val="left"/>
              <w:rPr>
                <w:sz w:val="4"/>
                <w:szCs w:val="4"/>
              </w:rPr>
            </w:pPr>
            <w:r>
              <w:rPr>
                <w:sz w:val="4"/>
                <w:szCs w:val="4"/>
              </w:rPr>
            </w:r>
          </w:p>
        </w:tc>
      </w:tr>
      <w:tr>
        <w:trPr/>
        <w:tc>
          <w:tcPr>
            <w:tcW w:w="39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Professional fees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2,189 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Partner payouts and advertising fees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1,559 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payroll and other taxes payable</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Credit card processing fees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payroll liability</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taxes payable</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Estimated putative class action liability</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1,568 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8,064 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17,893 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4 – COMMITMENTS AND CONTINGENCIES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Loan and Security Agreement</w:t>
      </w:r>
    </w:p>
    <w:p>
      <w:pPr>
        <w:pStyle w:val="TextBody"/>
        <w:bidi w:val="0"/>
        <w:spacing w:lineRule="auto" w:line="288" w:before="0" w:after="160"/>
        <w:jc w:val="left"/>
        <w:rPr/>
      </w:pPr>
      <w:r>
        <w:rPr>
          <w:rFonts w:ascii="Expensify Neue;sans-serif" w:hAnsi="Expensify Neue;sans-serif"/>
          <w:b w:val="false"/>
          <w:color w:val="000000"/>
          <w:sz w:val="20"/>
        </w:rPr>
        <w:t xml:space="preserve">In February 2024, the Company entered into a Second Amended and Restated Loan and Security Agreement (as subsequently amended, the "2024 Amended Loan and Security Agreement") with </w:t>
      </w:r>
      <w:r>
        <w:rPr>
          <w:rFonts w:ascii="Expensify Neue;sans-serif" w:hAnsi="Expensify Neue;sans-serif"/>
          <w:b w:val="false"/>
          <w:color w:val="000000"/>
          <w:sz w:val="20"/>
          <w:shd w:fill="FFFFFF" w:val="clear"/>
        </w:rPr>
        <w:t>Canadian Imperial Bank of Commerce (“CIBC”)</w:t>
      </w:r>
      <w:r>
        <w:rPr>
          <w:rFonts w:ascii="Expensify Neue;sans-serif" w:hAnsi="Expensify Neue;sans-serif"/>
          <w:b w:val="false"/>
          <w:color w:val="000000"/>
          <w:sz w:val="20"/>
        </w:rPr>
        <w:t>. The 2024 Amended Loan and Security Agreement provided for a</w:t>
      </w:r>
      <w:r>
        <w:rPr>
          <w:color w:val="000000"/>
          <w:shd w:fill="FFFFFF" w:val="clear"/>
        </w:rPr>
        <w:t xml:space="preserve"> </w:t>
      </w:r>
      <w:r>
        <w:rPr>
          <w:rFonts w:ascii="Expensify Neue;sans-serif" w:hAnsi="Expensify Neue;sans-serif"/>
          <w:b w:val="false"/>
          <w:color w:val="000000"/>
          <w:sz w:val="20"/>
        </w:rPr>
        <w:t>$25.0 million</w:t>
      </w:r>
      <w:r>
        <w:rPr>
          <w:color w:val="000000"/>
          <w:shd w:fill="FFFFFF" w:val="clear"/>
        </w:rPr>
        <w:t xml:space="preserve"> </w:t>
      </w:r>
      <w:r>
        <w:rPr>
          <w:rFonts w:ascii="Expensify Neue;sans-serif" w:hAnsi="Expensify Neue;sans-serif"/>
          <w:b w:val="false"/>
          <w:color w:val="000000"/>
          <w:sz w:val="20"/>
          <w:shd w:fill="FFFFFF" w:val="clear"/>
        </w:rPr>
        <w:t xml:space="preserve">revolving credit facility, which was terminated in </w:t>
      </w:r>
      <w:r>
        <w:rPr>
          <w:rFonts w:ascii="Expensify Neue;sans-serif" w:hAnsi="Expensify Neue;sans-serif"/>
          <w:b w:val="false"/>
          <w:color w:val="000000"/>
          <w:sz w:val="20"/>
        </w:rPr>
        <w:t>July 2025. At the time of such termination, the Company had no borrowings under the revolving credit facility, and certain terms of the 2024 Amended Loan and Security Agreement, including collateral security, survived the termination with respect to outstanding Contingent Obligations (as defined in the 2024 Amended Loan and Security Agreement) arising from Bank Services (as defined in the 2024 Amended Loan and Security Agreement). There were no penalties incurred by the Company as a result of the termination of the revolving credit facility.</w:t>
      </w:r>
    </w:p>
    <w:p>
      <w:pPr>
        <w:pStyle w:val="TextBody"/>
        <w:bidi w:val="0"/>
        <w:spacing w:lineRule="auto" w:line="288" w:before="0" w:after="160"/>
        <w:jc w:val="left"/>
        <w:rPr/>
      </w:pPr>
      <w:r>
        <w:rPr>
          <w:rFonts w:ascii="Expensify Neue;sans-serif" w:hAnsi="Expensify Neue;sans-serif"/>
          <w:b w:val="false"/>
          <w:color w:val="000000"/>
          <w:sz w:val="20"/>
        </w:rPr>
        <w:t>In April 2024, the Company entered into an irrevocable standby letter of credit (the "Letter of Credit") issued under the 2024 Amended Loan and Security Agreement to reduce cash collateral requirements in connection with the Expensify Card program. The Letter of Credit was issued in the amount of</w:t>
      </w:r>
      <w:r>
        <w:rPr>
          <w:color w:val="000000"/>
          <w:shd w:fill="FFFFFF" w:val="clear"/>
        </w:rPr>
        <w:t xml:space="preserve"> </w:t>
      </w:r>
      <w:r>
        <w:rPr>
          <w:rFonts w:ascii="Expensify Neue;sans-serif" w:hAnsi="Expensify Neue;sans-serif"/>
          <w:b w:val="false"/>
          <w:color w:val="000000"/>
          <w:sz w:val="20"/>
        </w:rPr>
        <w:t>$1.0 million</w:t>
      </w:r>
      <w:r>
        <w:rPr>
          <w:color w:val="000000"/>
          <w:shd w:fill="FFFFFF" w:val="clear"/>
        </w:rPr>
        <w:t xml:space="preserve"> </w:t>
      </w:r>
      <w:r>
        <w:rPr>
          <w:rFonts w:ascii="Expensify Neue;sans-serif" w:hAnsi="Expensify Neue;sans-serif"/>
          <w:b w:val="false"/>
          <w:color w:val="000000"/>
          <w:sz w:val="20"/>
          <w:shd w:fill="FFFFFF" w:val="clear"/>
        </w:rPr>
        <w:t>for the benefit of The Bancorp Bank, N.A</w:t>
      </w:r>
      <w:r>
        <w:rPr>
          <w:rFonts w:ascii="Expensify Neue;sans-serif" w:hAnsi="Expensify Neue;sans-serif"/>
          <w:b w:val="false"/>
          <w:color w:val="000000"/>
          <w:sz w:val="20"/>
        </w:rPr>
        <w:t>. In April 2025, the Company entered into an amendment to the irrevocable standby letter of credit to increase the Letter of Credit to $7.5 million. The Letter of Credit remained outstanding following the termination of the revolving credit facility.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Letter of Credit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October 2025, the Company entered into a Letter of Credit Facility and Security Agreement (the “LOC Security Agreement”) with CIBC. The LOC Security Agreement, among other things, provides for the issuance of additional irrevocable standby letters of credit, governs the terms of the outstanding Letter of Credit originally issued under the 2024 Amended Loan and Security Agreement, grants to CIBC, for the ratable benefit of the lenders, a security interest in substantially all of the assets of the Company and its subsidiaries, and also replaces the 2024 Amended Loan and Security Agreement with respect to the Contingent Obligations (as defined in the LOC Security Agreement). Under the LOC Security Agreement, the Letter of Credit remained at $7.5 million and expires in March 2027. The Letter of Credit automatically renews for successive one-year periods unless the Company or the issuing bank provide notice of non-renewal prior to the expiration date. No amounts had been drawn on the Letter of Credit as of June 30, 2026.</w:t>
      </w:r>
    </w:p>
    <w:p>
      <w:pPr>
        <w:pStyle w:val="TextBody"/>
        <w:bidi w:val="0"/>
        <w:spacing w:lineRule="auto" w:line="288" w:before="0" w:after="160"/>
        <w:jc w:val="left"/>
        <w:rPr>
          <w:rFonts w:ascii="Expensify Neue;sans-serif" w:hAnsi="Expensify Neue;sans-serif"/>
          <w:b/>
          <w:color w:val="000000"/>
          <w:sz w:val="20"/>
          <w:shd w:fill="FFFFFF" w:val="clear"/>
        </w:rPr>
      </w:pPr>
      <w:r>
        <w:rPr>
          <w:rFonts w:ascii="Expensify Neue;sans-serif" w:hAnsi="Expensify Neue;sans-serif"/>
          <w:b/>
          <w:color w:val="000000"/>
          <w:sz w:val="20"/>
          <w:shd w:fill="FFFFFF" w:val="clear"/>
        </w:rPr>
        <w:t>Legal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November 29, 2023, a putative securities class action (the “Putative Class Action”) was filed in the United States District Court for the District of Oregon captioned Wilhite v. Expensify, Inc., et al., Case No. 3:23-cv-01784-JR, naming the Company, the Company's executive officers and several of the Company's current and former directors as defendants (collectively, the “Defendants”). The lawsuit was purportedly brought on behalf of all those who purchased or acquired the Company's stock pursuant or traceable to its initial public offering ("IPO"). The complaint alleged claims under Sections 11 and 15 of the Securities Act of 1933 based on allegedly false or misleading statements in the offering documents filed in connection with the IPO. The lawsuit sought unspecified damages and other relief. On December 17, 2025, after conducting mediation within the discovery phase of the lawsuit, the parties reached 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in-principle to settle all claims in the Putative Class Action for an aggregate sum of $9.5 million. Plaintiff filed a stipulation of settlement and motion for preliminary approval of settlement on February 12, 2026. On February 23, 2026, the Court granted preliminary approval of the settlement. On April 28, 2026, Plaintiff filed a motion for final approval of the settlement, as well as a motion for attorneys' fees. A hearing for the final approval of the settlement was held on June 30, 2026, at which time final approval was granted by the Court. During the six months ended June 30, 2026, the Company deposited $9.5 million into escrow for the settlement, which consisted of $2.6 million paid by the Company and $6.9 million recovered under the Company's applicable insurance policies.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2025 and in the first quarter of 2026, shareholder derivative lawsuits were filed in the United States District Court for the District of Oregon naming the Company as nominal defendant, with the Company's executive officers and several of the Company's current and former directors as defendants (collectively, the “Derivative Defendants”). The Derivative Defendants deny the allegations of wrongdoing and will continue to vigorously defend against the claims in the shareholder derivative lawsuits. At this time, the Company is unable to estimate the probability or the amount of liability, if any, related to these matters. The Company expects all future settlements related to these matters, if any, to be covered entirely by the applicable insurance policies carried by the Company. See Part II, Item 1. "Legal Proceedings" for further details.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June 30, 2026, there were no other legal contingency matters, either individually or in aggregate, that would have a material adverse effect on the Company’s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5 – STOCK INCENTIVE PLANS</w:t>
      </w:r>
    </w:p>
    <w:p>
      <w:pPr>
        <w:pStyle w:val="TextBody"/>
        <w:bidi w:val="0"/>
        <w:spacing w:lineRule="auto" w:line="288" w:before="0" w:after="160"/>
        <w:jc w:val="left"/>
        <w:rPr/>
      </w:pPr>
      <w:r>
        <w:rPr>
          <w:rFonts w:ascii="Expensify Neue;sans-serif" w:hAnsi="Expensify Neue;sans-serif"/>
          <w:b/>
          <w:color w:val="000000"/>
          <w:sz w:val="20"/>
        </w:rPr>
        <w:t>2009 and 2019 Stock Plans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On November 9, 2021, the Board of Directors amended and restated the 2019 Stock Plan to, among other things, increase the common stock reserved for issuance under the 2019 Stock Plan to an aggregate of 16,856,770 shares of Class A common stock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Stock Plans will continue to govern the terms and conditions of the outstanding awards granted under them.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Incentive Plans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November 2021, the Board of Directors adopted, and the Company's stockholders approved, the 2021 Incentive Plans, which both became effective immediately before the effectiveness of the Company's IPO Registration Statement on Form S-1 and use a combined share reserve. Under the 2021 Incentive Plans, 11,676,932 shares of Class A common stock were initially reserved for issuance pursuant to a variety of stock-based awards, including incentive stock options, nonqualified stock options, stock appreciation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common stock or LT50 common stock underlying outstanding stock-based awards granted under the 2019 Stock Plan. The number of shares of Class A common stock reserved and available for issuance under the 2021 Incentive Plans as of June 30, 2026 and December 31, 2025 was 21,382,386 shares and 20,992,688 shares, respectively. The number of shares reserved for issuance under the 2021 Incentive Plans will automatically increase each subsequent January 1 through January 1, 2031, by the lesser of (A) 6% of the aggregate number of shares of all classes of common stock outstanding on the last day of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Purchase and Matching Plan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Matching Plan operates using consecutive three-month offering periods that commenced on March 15, 2022. Employees, consultants and directors (collectively, "Service Providers") of the Company can participate in the Matching Plan by electing to contribute compensation through deductions from payroll or fee payments, or by receiving discretionary awards under the plan. On the last day of the offering period, the contributions made during the offering period are used to purchase shares of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price at which Class A common stock is purchased under the Matching Plan equals the average of the high and low trading price of one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or matched shares issued to a Service Provider under the Matching Plan. The match rate applicable to each offering period shall be limited to 1.5% of the shares of any class of capital stock outstanding as of the exercise date applicable to such offering period. The Company estimates the fair value of matched shares provided under the Matching Plan using the closing price of the Company's Class A common stock on the Nasdaq Stock Market LLC on the date of grant. The Company recognizes stock-based compensation expense related to the matched shares pursuant to its Matching Plan on a straight-line basis over the applicable three-month offering period.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Service Providers who participated in the Matching Plan for the offering period ended June 14, 2026 purchased a total of 1,145,672 shares of Class A common stock, based on a purchase price of $1.27, resulting in gross cash proceeds to the Company of $1.5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Service Providers who participated in the Matching Plan for the offering period ended June 14, 2025 purchased a total of 636,759 shares of Class A common stock, based on a purchase price of $2.29, resulting in gross cash proceeds to the Company of $1.5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offering period ended June 14, 2026, the Company elected to match each share of Class A common stock purchased or issued under the Matching Plan with 1/20 of a share of Class A common stock. During the three and six months ended June 30, 2026, the Company granted 475,319 and 927,824 shares of Class A common stock under the Matching Plan, respectively.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offering period ended June 14, 2025, the Company elected to match each share of Class A common stock purchased or issued under the Matching Plan with 1/20 of a share of Class A common stock. During the three and six months ended June 30, 2025, the Company granted 251,964 and 470,468 shares of Class A common stock under the Matching Plan, respectively.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has made discretionary contributions under the Matching Plan to eligible Service Providers. The Company did not make any discretionary contributions under the Matching Plan to eligible Service Providers during both the three and six months ended June 30, 2026. During the three and six months ended June 30, 2025, the Company granted 65,535 and 243,734 shares of Class A common stock as discretionary contributions under the Matching Plan, respectively.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Restricted Stock Units </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Equity-Classified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Company's Non-Employee Director Compensation Program, which was adopted under the 2021 Incentive Plans, the Company granted 371,286 Class A common stock RSUs during the six months ended June 30, 2026. A total of 153,690 Class A common stock RSUs vested during the six months ended June 30, 2026 related to previously-granted RSU awards, as the service conditions were satisfied.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six months ended June 30, 2026, equity-classified RSU activity was as follows:</w:t>
      </w:r>
    </w:p>
    <w:tbl>
      <w:tblPr>
        <w:tblW w:w="10205" w:type="dxa"/>
        <w:jc w:val="left"/>
        <w:tblInd w:w="0" w:type="dxa"/>
        <w:tblLayout w:type="fixed"/>
        <w:tblCellMar>
          <w:top w:w="28" w:type="dxa"/>
          <w:left w:w="28" w:type="dxa"/>
          <w:bottom w:w="28" w:type="dxa"/>
          <w:right w:w="28" w:type="dxa"/>
        </w:tblCellMar>
      </w:tblPr>
      <w:tblGrid>
        <w:gridCol w:w="977"/>
        <w:gridCol w:w="860"/>
        <w:gridCol w:w="861"/>
        <w:gridCol w:w="749"/>
        <w:gridCol w:w="610"/>
        <w:gridCol w:w="585"/>
        <w:gridCol w:w="109"/>
        <w:gridCol w:w="109"/>
        <w:gridCol w:w="109"/>
        <w:gridCol w:w="563"/>
        <w:gridCol w:w="563"/>
        <w:gridCol w:w="428"/>
        <w:gridCol w:w="109"/>
        <w:gridCol w:w="109"/>
        <w:gridCol w:w="109"/>
        <w:gridCol w:w="697"/>
        <w:gridCol w:w="2179"/>
        <w:gridCol w:w="479"/>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LT50 </w:t>
              <w:b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grant date fair value per share</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2025</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1,547,676 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1,373,802 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30.30 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granted</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371,286 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vested</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(335,279)</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(181,589)</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23.06 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cancelled/forfeited/expired</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(42,501)</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(22,317)</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34.17 </w:t>
            </w:r>
          </w:p>
        </w:tc>
        <w:tc>
          <w:tcPr>
            <w:tcW w:w="47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Outstanding at June 30, 2026</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1,541,182 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1,169,896 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27.60 </w:t>
            </w:r>
          </w:p>
        </w:tc>
        <w:tc>
          <w:tcPr>
            <w:tcW w:w="47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As of June 30, 2026, the Company had $57.9 million </w:t>
      </w:r>
      <w:r>
        <w:rPr>
          <w:rFonts w:ascii="Expensify Neue;sans-serif" w:hAnsi="Expensify Neue;sans-serif"/>
          <w:b w:val="false"/>
          <w:color w:val="000000"/>
          <w:sz w:val="20"/>
          <w:shd w:fill="FFFFFF" w:val="clear"/>
        </w:rPr>
        <w:t xml:space="preserve">of unrecognized stock-based compensation expense related to unvested </w:t>
      </w:r>
      <w:r>
        <w:rPr>
          <w:rFonts w:ascii="Expensify Neue;sans-serif" w:hAnsi="Expensify Neue;sans-serif"/>
          <w:b w:val="false"/>
          <w:color w:val="000000"/>
          <w:sz w:val="20"/>
        </w:rPr>
        <w:t>equity-classified</w:t>
      </w:r>
      <w:r>
        <w:rPr>
          <w:color w:val="000000"/>
          <w:shd w:fill="FFFFFF" w:val="clear"/>
        </w:rPr>
        <w:t xml:space="preserve"> </w:t>
      </w:r>
      <w:r>
        <w:rPr>
          <w:rFonts w:ascii="Expensify Neue;sans-serif" w:hAnsi="Expensify Neue;sans-serif"/>
          <w:b w:val="false"/>
          <w:color w:val="000000"/>
          <w:sz w:val="20"/>
          <w:shd w:fill="FFFFFF" w:val="clear"/>
        </w:rPr>
        <w:t xml:space="preserve">RSUs, which is expected to be recognized over the remaining weighted average life of </w:t>
      </w:r>
      <w:r>
        <w:rPr>
          <w:rFonts w:ascii="Expensify Neue;sans-serif" w:hAnsi="Expensify Neue;sans-serif"/>
          <w:b w:val="false"/>
          <w:color w:val="000000"/>
          <w:sz w:val="20"/>
        </w:rPr>
        <w:t xml:space="preserve">3.09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Liability-Classified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June 20, 2025, pursuant to the 2021 Incentive Plans, the Company's compensation committee approved and authorized the grant of Class A common stock RSUs to certain Service Providers, to be issued on a quarterly basis through March 2029. Issuances of the Class A common stock RSUs occur automatically each quarter using a predetermined fixed dollar amount that gradually decreases over time. Each RSU vests immediately on the date it is issued, and both the issuance and vesting are subject to a service condition that will ultimately be satisfied over four years. The first quarterly automatic issuance occurred on June 20, 2025 and the remaining RSUs will be subject to quarterly issuance and vesting thereon until fully issued. The number of RSUs to be automatically issued on each issuance date is determined based on the closing price of the Company's Class A common stock on the Nasdaq Stock Market LLC on the 15th calendar day of the month during which the RSU award is issued, or the immediately preceding trading day. The awards are accounted for as liability awards and will be recognized on a straight-line basis over the life of the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issued 728,589 Class A common stock RSUs and settled liability-classified awards with a fair value of $0.7 million during the six months ended June 30, 2026.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issued 144,820 Class A common stock RSUs and settled liability-classified awards with a fair value of $0.3 million during the six months ended June 30, 2025.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June 30, 2026, the Company had $1.9 million of unrecognized stock-based compensation expense related to unvested liability-classified RSUs, which is expected to be recognized over the remaining weighted average life of 1.06 years.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 Options are exercisable over periods not to exceed ten years from the date of grant (five years for incentive stock options granted to a "ten-percent holder").</w:t>
      </w:r>
    </w:p>
    <w:p>
      <w:pPr>
        <w:pStyle w:val="TextBody"/>
        <w:bidi w:val="0"/>
        <w:spacing w:lineRule="auto" w:line="288" w:before="0" w:after="160"/>
        <w:jc w:val="left"/>
        <w:rPr/>
      </w:pPr>
      <w:r>
        <w:rPr>
          <w:rFonts w:ascii="Expensify Neue;sans-serif" w:hAnsi="Expensify Neue;sans-serif"/>
          <w:b w:val="false"/>
          <w:color w:val="000000"/>
          <w:sz w:val="20"/>
        </w:rPr>
        <w:t>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r>
        <w:rPr>
          <w:rFonts w:ascii="Expensify Neue;sans-serif" w:hAnsi="Expensify Neue;sans-serif"/>
          <w:b w:val="false"/>
          <w:color w:val="000000"/>
          <w:sz w:val="20"/>
          <w:shd w:fill="FFFFFF" w:val="clear"/>
        </w:rPr>
        <w: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June 23, 2026, pursuant to the 2021 Plan, the Company's Board of Directors approved and authorized the grant of incentive and nonqualified stock options to the Company's named executive officers and certain directors of the Company. The options granted vest ratably on a quarterly basis over four years subject to the Service Provider's continued service through each vesting date. All options granted had a vest commencement date of April 13, 2025. On the grant date, the Company recorded a cumulative one-time stock-based compensation expense of $1.6 million for the requisite service period satisfied by the Service Providers prior to that date. The Company will recognize the remaining stock-based compensation expense on a straight-line basis over the remaining vesting period.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six months ended June 30, 2026, the Company granted 5,580,464 options to Service Providers under the 2021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fair value of options granted during the </w:t>
      </w:r>
      <w:r>
        <w:rPr>
          <w:rFonts w:ascii="Expensify Neue;sans-serif" w:hAnsi="Expensify Neue;sans-serif"/>
          <w:b w:val="false"/>
          <w:color w:val="000000"/>
          <w:sz w:val="20"/>
        </w:rPr>
        <w:t>six months ended June 30, 2026</w:t>
      </w:r>
      <w:r>
        <w:rPr>
          <w:color w:val="000000"/>
          <w:shd w:fill="FFFFFF" w:val="clear"/>
        </w:rPr>
        <w:t xml:space="preserve"> </w:t>
      </w:r>
      <w:r>
        <w:rPr>
          <w:rFonts w:ascii="Expensify Neue;sans-serif" w:hAnsi="Expensify Neue;sans-serif"/>
          <w:b w:val="false"/>
          <w:color w:val="000000"/>
          <w:sz w:val="20"/>
          <w:shd w:fill="FFFFFF" w:val="clear"/>
        </w:rPr>
        <w:t>was estimated using the Black-Scholes option pricing model with the following weighted average assumptions:</w:t>
      </w:r>
    </w:p>
    <w:tbl>
      <w:tblPr>
        <w:tblW w:w="6480" w:type="dxa"/>
        <w:jc w:val="left"/>
        <w:tblInd w:w="0" w:type="dxa"/>
        <w:tblLayout w:type="fixed"/>
        <w:tblCellMar>
          <w:top w:w="28" w:type="dxa"/>
          <w:left w:w="28" w:type="dxa"/>
          <w:bottom w:w="28" w:type="dxa"/>
          <w:right w:w="28" w:type="dxa"/>
        </w:tblCellMar>
      </w:tblPr>
      <w:tblGrid>
        <w:gridCol w:w="1378"/>
        <w:gridCol w:w="1214"/>
        <w:gridCol w:w="1218"/>
        <w:gridCol w:w="528"/>
        <w:gridCol w:w="1369"/>
        <w:gridCol w:w="773"/>
      </w:tblGrid>
      <w:tr>
        <w:trPr/>
        <w:tc>
          <w:tcPr>
            <w:tcW w:w="137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Fair value of common stock per share</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dividend yield </w:t>
            </w:r>
            <w:r>
              <w:rPr>
                <w:rFonts w:ascii="Expensify Neue;sans-serif" w:hAnsi="Expensify Neue;sans-serif"/>
                <w:b w:val="false"/>
                <w:color w:val="000000"/>
                <w:sz w:val="13"/>
              </w:rPr>
              <w:t>(1)</w:t>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Risk-free interest rate </w:t>
            </w:r>
            <w:r>
              <w:rPr>
                <w:rFonts w:ascii="Expensify Neue;sans-serif" w:hAnsi="Expensify Neue;sans-serif"/>
                <w:b w:val="false"/>
                <w:color w:val="000000"/>
                <w:sz w:val="13"/>
              </w:rPr>
              <w:t>(2)</w:t>
            </w:r>
          </w:p>
        </w:tc>
        <w:tc>
          <w:tcPr>
            <w:tcW w:w="1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volatility </w:t>
            </w:r>
            <w:r>
              <w:rPr>
                <w:rFonts w:ascii="Expensify Neue;sans-serif" w:hAnsi="Expensify Neue;sans-serif"/>
                <w:b w:val="false"/>
                <w:color w:val="000000"/>
                <w:sz w:val="13"/>
              </w:rPr>
              <w:t>(3)</w:t>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life (in years) </w:t>
            </w:r>
            <w:r>
              <w:rPr>
                <w:rFonts w:ascii="Expensify Neue;sans-serif" w:hAnsi="Expensify Neue;sans-serif"/>
                <w:b w:val="false"/>
                <w:color w:val="000000"/>
                <w:sz w:val="13"/>
              </w:rPr>
              <w:t>(4)</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8.07</w:t>
            </w:r>
          </w:p>
        </w:tc>
      </w:tr>
      <w:tr>
        <w:trPr/>
        <w:tc>
          <w:tcPr>
            <w:tcW w:w="38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(1)The Company has no history or expectation of paying cash dividends on its common stock.</w:t>
      </w:r>
    </w:p>
    <w:p>
      <w:pPr>
        <w:pStyle w:val="TextBody"/>
        <w:bidi w:val="0"/>
        <w:spacing w:lineRule="auto" w:line="288" w:before="0" w:after="8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(2)The risk-free interest rate is based on the U.S. Treasury yield for a term consistent with the expected life of the awards in effect at the time of grant.</w:t>
      </w:r>
    </w:p>
    <w:p>
      <w:pPr>
        <w:pStyle w:val="TextBody"/>
        <w:bidi w:val="0"/>
        <w:spacing w:lineRule="auto" w:line="288" w:before="0" w:after="8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(3)Expected volatility is based on the historical volatility of the Company’s Class A common stock and peer group comparisons over the expected life of the options.</w:t>
      </w:r>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(4)The expected life of options to Service Providers with a demonstrated exercise history of holding options to maturity is based on the contractual term of the options. For all other options, the Company determined the expected life based on the average of the time-to-vesting and the contractual life of the stock-based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summary of the Company's stock option activity during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1009"/>
        <w:gridCol w:w="887"/>
        <w:gridCol w:w="889"/>
        <w:gridCol w:w="563"/>
        <w:gridCol w:w="563"/>
        <w:gridCol w:w="246"/>
        <w:gridCol w:w="109"/>
        <w:gridCol w:w="109"/>
        <w:gridCol w:w="109"/>
        <w:gridCol w:w="585"/>
        <w:gridCol w:w="1519"/>
        <w:gridCol w:w="284"/>
        <w:gridCol w:w="109"/>
        <w:gridCol w:w="109"/>
        <w:gridCol w:w="109"/>
        <w:gridCol w:w="877"/>
        <w:gridCol w:w="877"/>
        <w:gridCol w:w="1252"/>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Expensify Neue;sans-serif" w:hAnsi="Expensify Neue;sans-serif"/>
                <w:b/>
                <w:color w:val="000000"/>
                <w:sz w:val="16"/>
              </w:rPr>
            </w:pPr>
            <w:r>
              <w:rPr>
                <w:rFonts w:ascii="Expensify Neue;sans-serif" w:hAnsi="Expensify Neue;sans-serif"/>
                <w:b/>
                <w:color w:val="000000"/>
                <w:sz w:val="16"/>
              </w:rPr>
              <w:t>Weighted average remaining contractual life (in years)</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2025</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3,248,373 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3.49</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Options 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5,580,464 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Options exercised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(44,071)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0.97 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Options cancelled/forfeited/expired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(80,455)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Outstanding and exercisable at June 30, 2026</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8,704,311 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Expensify Neue;sans-serif" w:hAnsi="Expensify Neue;sans-serif"/>
                <w:b w:val="false"/>
                <w:color w:val="000000"/>
                <w:sz w:val="20"/>
              </w:rPr>
            </w:pPr>
            <w:r>
              <w:rPr>
                <w:rFonts w:ascii="Expensify Neue;sans-serif" w:hAnsi="Expensify Neue;sans-serif"/>
                <w:b w:val="false"/>
                <w:color w:val="000000"/>
                <w:sz w:val="20"/>
              </w:rPr>
              <w:t>7.48</w:t>
            </w:r>
          </w:p>
        </w:tc>
      </w:tr>
      <w:tr>
        <w:trPr/>
        <w:tc>
          <w:tcPr>
            <w:tcW w:w="27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The total pretax intrinsic value of options outstanding and exercisable at June 30, 2026 was $2.2 million. </w:t>
      </w:r>
      <w:r>
        <w:rPr>
          <w:rFonts w:ascii="Expensify Neue;sans-serif" w:hAnsi="Expensify Neue;sans-serif"/>
          <w:b w:val="false"/>
          <w:color w:val="000000"/>
          <w:sz w:val="20"/>
          <w:shd w:fill="FFFFFF" w:val="clear"/>
        </w:rPr>
        <w:t>The intrinsic value is the difference between the closing price of the Company's common stock on the date of exercise and the exercise price for in-the-money options. The intrinsic value of options outstanding and exercisable is based on the closing price of the Company's common stock as of</w:t>
      </w:r>
      <w:r>
        <w:rPr>
          <w:color w:val="000000"/>
        </w:rPr>
        <w:t xml:space="preserve"> </w:t>
      </w:r>
      <w:r>
        <w:rPr>
          <w:rFonts w:ascii="Expensify Neue;sans-serif" w:hAnsi="Expensify Neue;sans-serif"/>
          <w:b w:val="false"/>
          <w:color w:val="000000"/>
          <w:sz w:val="20"/>
        </w:rPr>
        <w:t>June 30, 2026. The weighted average grant date fair value of options granted during the six months ended June 30, 2026 was $1.17.</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June 30, 2026</w:t>
      </w:r>
      <w:r>
        <w:rPr>
          <w:rFonts w:ascii="Expensify Neue;sans-serif" w:hAnsi="Expensify Neue;sans-serif"/>
          <w:b w:val="false"/>
          <w:color w:val="000000"/>
          <w:sz w:val="20"/>
          <w:shd w:fill="FFFFFF" w:val="clear"/>
        </w:rPr>
        <w:t xml:space="preserve">, the Company had </w:t>
      </w:r>
      <w:r>
        <w:rPr>
          <w:rFonts w:ascii="Expensify Neue;sans-serif" w:hAnsi="Expensify Neue;sans-serif"/>
          <w:b w:val="false"/>
          <w:color w:val="000000"/>
          <w:sz w:val="20"/>
        </w:rPr>
        <w:t>$4.7 million</w:t>
      </w:r>
      <w:r>
        <w:rPr>
          <w:color w:val="000000"/>
          <w:shd w:fill="FFFFFF" w:val="clear"/>
        </w:rPr>
        <w:t xml:space="preserve"> </w:t>
      </w:r>
      <w:r>
        <w:rPr>
          <w:rFonts w:ascii="Expensify Neue;sans-serif" w:hAnsi="Expensify Neue;sans-serif"/>
          <w:b w:val="false"/>
          <w:color w:val="000000"/>
          <w:sz w:val="20"/>
          <w:shd w:fill="FFFFFF" w:val="clear"/>
        </w:rPr>
        <w:t xml:space="preserve">of unrecognized stock-based compensation expense related to unvested stock options, which is expected to be recognized over a weighted average period of </w:t>
      </w:r>
      <w:r>
        <w:rPr>
          <w:rFonts w:ascii="Expensify Neue;sans-serif" w:hAnsi="Expensify Neue;sans-serif"/>
          <w:b w:val="false"/>
          <w:color w:val="000000"/>
          <w:sz w:val="20"/>
        </w:rPr>
        <w:t>2.78 years</w:t>
      </w:r>
      <w:r>
        <w:rPr>
          <w:rFonts w:ascii="Expensify Neue;sans-serif" w:hAnsi="Expensify Neue;sans-serif"/>
          <w:b w:val="false"/>
          <w:color w:val="000000"/>
          <w:sz w:val="20"/>
          <w:shd w:fill="FFFFFF" w:val="clear"/>
        </w:rPr>
        <w:t>.</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Cash received from the purchase of shares upon the exercise of stock options under the Stock Plans for the </w:t>
      </w:r>
      <w:r>
        <w:rPr>
          <w:rFonts w:ascii="Expensify Neue;sans-serif" w:hAnsi="Expensify Neue;sans-serif"/>
          <w:b w:val="false"/>
          <w:color w:val="000000"/>
          <w:sz w:val="20"/>
        </w:rPr>
        <w:t>six months ended June 30, 2026 and 2025 was immaterial and</w:t>
      </w:r>
      <w:r>
        <w:rPr>
          <w:color w:val="000000"/>
          <w:shd w:fill="FFFFFF" w:val="clear"/>
        </w:rPr>
        <w:t xml:space="preserve"> </w:t>
      </w:r>
      <w:r>
        <w:rPr>
          <w:rFonts w:ascii="Expensify Neue;sans-serif" w:hAnsi="Expensify Neue;sans-serif"/>
          <w:b w:val="false"/>
          <w:color w:val="000000"/>
          <w:sz w:val="20"/>
          <w:shd w:fill="FFFFFF" w:val="clear"/>
        </w:rPr>
        <w:t xml:space="preserve">$0.1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Stock-Based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the stock-based compensation expense recognized for awards granted under the Company's authorized stock incentive plans (in thousands):</w:t>
      </w:r>
    </w:p>
    <w:tbl>
      <w:tblPr>
        <w:tblW w:w="10205" w:type="dxa"/>
        <w:jc w:val="left"/>
        <w:tblInd w:w="0" w:type="dxa"/>
        <w:tblLayout w:type="fixed"/>
        <w:tblCellMar>
          <w:top w:w="28" w:type="dxa"/>
          <w:left w:w="28" w:type="dxa"/>
          <w:bottom w:w="28" w:type="dxa"/>
          <w:right w:w="28" w:type="dxa"/>
        </w:tblCellMar>
      </w:tblPr>
      <w:tblGrid>
        <w:gridCol w:w="1777"/>
        <w:gridCol w:w="1463"/>
        <w:gridCol w:w="1319"/>
        <w:gridCol w:w="246"/>
        <w:gridCol w:w="769"/>
        <w:gridCol w:w="118"/>
        <w:gridCol w:w="118"/>
        <w:gridCol w:w="118"/>
        <w:gridCol w:w="118"/>
        <w:gridCol w:w="246"/>
        <w:gridCol w:w="769"/>
        <w:gridCol w:w="118"/>
        <w:gridCol w:w="109"/>
        <w:gridCol w:w="109"/>
        <w:gridCol w:w="109"/>
        <w:gridCol w:w="226"/>
        <w:gridCol w:w="826"/>
        <w:gridCol w:w="109"/>
        <w:gridCol w:w="109"/>
        <w:gridCol w:w="109"/>
        <w:gridCol w:w="109"/>
        <w:gridCol w:w="226"/>
        <w:gridCol w:w="826"/>
        <w:gridCol w:w="159"/>
      </w:tblGrid>
      <w:tr>
        <w:trPr/>
        <w:tc>
          <w:tcPr>
            <w:tcW w:w="177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Equity-classified restricted stock units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12,013 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of liability-classified restricted stock units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 options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15,692 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stock-based compensation capitalized as software development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7,211 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 is allocated based on the cost center to which the award holder spent time during the reported periods. Stock-based compensation expense is included in the following components of expenses on the Condensed Consolidated Statements of Operations (in thousands):</w:t>
      </w:r>
    </w:p>
    <w:tbl>
      <w:tblPr>
        <w:tblW w:w="10064" w:type="dxa"/>
        <w:jc w:val="left"/>
        <w:tblInd w:w="0" w:type="dxa"/>
        <w:tblLayout w:type="fixed"/>
        <w:tblCellMar>
          <w:top w:w="28" w:type="dxa"/>
          <w:left w:w="28" w:type="dxa"/>
          <w:bottom w:w="28" w:type="dxa"/>
          <w:right w:w="28" w:type="dxa"/>
        </w:tblCellMar>
      </w:tblPr>
      <w:tblGrid>
        <w:gridCol w:w="1513"/>
        <w:gridCol w:w="1333"/>
        <w:gridCol w:w="1338"/>
        <w:gridCol w:w="268"/>
        <w:gridCol w:w="839"/>
        <w:gridCol w:w="129"/>
        <w:gridCol w:w="129"/>
        <w:gridCol w:w="129"/>
        <w:gridCol w:w="129"/>
        <w:gridCol w:w="268"/>
        <w:gridCol w:w="839"/>
        <w:gridCol w:w="129"/>
        <w:gridCol w:w="109"/>
        <w:gridCol w:w="109"/>
        <w:gridCol w:w="109"/>
        <w:gridCol w:w="226"/>
        <w:gridCol w:w="826"/>
        <w:gridCol w:w="109"/>
        <w:gridCol w:w="109"/>
        <w:gridCol w:w="109"/>
        <w:gridCol w:w="109"/>
        <w:gridCol w:w="226"/>
        <w:gridCol w:w="82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7,211 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6,927 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6 –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three and six months ended June 30, 2026, the Company prepared its interim tax provision by applying a year-to-date effective tax rate, which the Company believes results in the best estimate of the annual effective tax rate.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recorded a (provision for) benefit from income taxes of $(1.1) million and $0.7 million for the three months ended June 30, 2026 and 2025, respectively, which resulted in effective tax rates of (41.6)% and 7.0%,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recorded a provision for income taxes of $1.7 million and $1.3 million for the six months ended June 30, 2026 and 2025, respectively, which resulted in effective tax rates of (36.9)% and (12.7)%, respectively.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effective income tax rate differs from the statutory tax rate in 2026 and 2025 primarily due to non-deductible stock-based compensation and the change in the valuation allowance in 2025.</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amount of cash paid for income taxes, net of refunds received, was $1.5 million and $4.4 million for the six months ended June 30, 2026 and 2025, respectively.</w:t>
      </w:r>
    </w:p>
    <w:p>
      <w:pPr>
        <w:pStyle w:val="TextBody"/>
        <w:bidi w:val="0"/>
        <w:spacing w:lineRule="auto" w:line="288" w:before="0" w:after="160"/>
        <w:jc w:val="left"/>
        <w:rPr/>
      </w:pPr>
      <w:r>
        <w:rPr>
          <w:rFonts w:ascii="Expensify Neue;sans-serif" w:hAnsi="Expensify Neue;sans-serif"/>
          <w:b w:val="false"/>
          <w:color w:val="000000"/>
          <w:sz w:val="20"/>
        </w:rPr>
        <w:t xml:space="preserve">The Company follows the provisions of ASC 740-10, </w:t>
      </w:r>
      <w:r>
        <w:rPr>
          <w:rFonts w:ascii="Expensify Neue;sans-serif" w:hAnsi="Expensify Neue;sans-serif"/>
          <w:b w:val="false"/>
          <w:i/>
          <w:color w:val="000000"/>
          <w:sz w:val="20"/>
        </w:rPr>
        <w:t>Accounting for Uncertainty in Income Taxes</w:t>
      </w:r>
      <w:r>
        <w:rPr>
          <w:rFonts w:ascii="Expensify Neue;sans-serif" w:hAnsi="Expensify Neue;sans-serif"/>
          <w:b w:val="false"/>
          <w:color w:val="000000"/>
          <w:sz w:val="20"/>
        </w:rPr>
        <w:t>. ASC 740-10 prescribes a comprehensive model for the recognition, measurement, presentation and disclosure in financial statements of uncertain tax positions that have been taken or expected to be taken on a tax return. As of June 30, 2026 and December 31, 2025, the Company recorded an uncertain tax position liability of $1.8 million and $1.6 million, respectively, within Other liabilities on the Condensed Consolidated Balance Sheets. This liability includes $0.4 million and $0.3 million of interest and penalties as of June 30, 2026 and December 31, 2025,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H.R.1, enacted into law on July 4, 2025, introduced provisions that modified the Internal Revenue Code (“IRC”), including the immediate expensing of domestic research and development expenditures for tax purposes. As previously required under the Tax Cuts and Jobs Act, the Company capitalized and amortized research and experimental (“R&amp;D”) expenditures under IRC Section 174 for tax years beginning after December 31, 2021. With the enactment of H.R.1 in 2025, the Company began deducting domestic Section 174 costs in the year they were incurred. The Company will continue to capitalize and amortize R&amp;D costs over 15 years for R&amp;D performed outside of the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7 – NET LOSS PER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21"/>
        <w:gridCol w:w="1226"/>
        <w:gridCol w:w="1230"/>
        <w:gridCol w:w="263"/>
        <w:gridCol w:w="983"/>
        <w:gridCol w:w="109"/>
        <w:gridCol w:w="109"/>
        <w:gridCol w:w="109"/>
        <w:gridCol w:w="109"/>
        <w:gridCol w:w="307"/>
        <w:gridCol w:w="819"/>
        <w:gridCol w:w="109"/>
        <w:gridCol w:w="109"/>
        <w:gridCol w:w="109"/>
        <w:gridCol w:w="109"/>
        <w:gridCol w:w="268"/>
        <w:gridCol w:w="858"/>
        <w:gridCol w:w="109"/>
        <w:gridCol w:w="109"/>
        <w:gridCol w:w="109"/>
        <w:gridCol w:w="109"/>
        <w:gridCol w:w="263"/>
        <w:gridCol w:w="983"/>
        <w:gridCol w:w="176"/>
      </w:tblGrid>
      <w:tr>
        <w:trPr/>
        <w:tc>
          <w:tcPr>
            <w:tcW w:w="152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 2026</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basic and diluted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(3,851)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83,265,693 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4,209,827 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7,965,860 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95,441,380 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 2025</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basic and diluted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(8,788)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80,251,423 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4,209,827 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7,810,674 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92,271,924 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 2026</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basic and diluted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82,371,114 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4,209,827 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8,004,107 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94,585,048 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(0.07)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 2025</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basic and diluted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(11,957)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79,916,193 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4,209,827 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7,762,613 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91,888,633 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 a ten-month notice period for LT10 common stock and a 50-month notice period for LT50 common stock to convert into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will be the same for the Class A, LT10 and LT50 common stock on an individual or combined basis.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potentially dilutive shares were not included in the calculation of diluted shares outstanding as the effect would have been anti-dilutive:</w:t>
      </w:r>
    </w:p>
    <w:tbl>
      <w:tblPr>
        <w:tblW w:w="9018" w:type="dxa"/>
        <w:jc w:val="center"/>
        <w:tblInd w:w="0" w:type="dxa"/>
        <w:tblLayout w:type="fixed"/>
        <w:tblCellMar>
          <w:top w:w="28" w:type="dxa"/>
          <w:left w:w="28" w:type="dxa"/>
          <w:bottom w:w="28" w:type="dxa"/>
          <w:right w:w="28" w:type="dxa"/>
        </w:tblCellMar>
      </w:tblPr>
      <w:tblGrid>
        <w:gridCol w:w="1190"/>
        <w:gridCol w:w="1046"/>
        <w:gridCol w:w="1048"/>
        <w:gridCol w:w="570"/>
        <w:gridCol w:w="556"/>
        <w:gridCol w:w="266"/>
        <w:gridCol w:w="161"/>
        <w:gridCol w:w="161"/>
        <w:gridCol w:w="161"/>
        <w:gridCol w:w="203"/>
        <w:gridCol w:w="203"/>
        <w:gridCol w:w="191"/>
        <w:gridCol w:w="161"/>
        <w:gridCol w:w="161"/>
        <w:gridCol w:w="161"/>
        <w:gridCol w:w="203"/>
        <w:gridCol w:w="203"/>
        <w:gridCol w:w="191"/>
        <w:gridCol w:w="161"/>
        <w:gridCol w:w="161"/>
        <w:gridCol w:w="161"/>
        <w:gridCol w:w="563"/>
        <w:gridCol w:w="563"/>
        <w:gridCol w:w="573"/>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4"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 2026</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117,770 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117,770 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117,770 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117,770 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4"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 2025</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1,763,170 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1,763,170 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19,228 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19,228 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1,782,398 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1,782,398 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4"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 2026</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33,513 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33,513 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33,513 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4"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 2025</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1,913,124 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1,913,124 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38,461 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38,461 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1,951,585 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1,951,585 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8 – EQUITY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Share Repurchase Program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25, 2025, the Executive Committee approved a share repurchase program with authorization to purchase up to $50.0 million of shares of Class A common stock that expires on March 31, 2028 ("2025 Share Repurchase Program"). Under the 2025 Share Repurchase Program, the Company may repurchase shares from time to time through open market purchases, in privately negotiated transactions 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the Company's current and future debt agreements and other considerations. The 2025 Share Repurchase Program does not obligate the Company to acquire any particular amount of Class A common stock, and the program may be suspended or terminated by the Company at any time at its discretion without prior notice.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and six months ended June 30, 2026, the Company repurchased 712,017 shares of Class A common stock under the 2025 Share Repurchase Program, at a total cost to the Company of $1.2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and six months ended June 30, 2025, the Company repurchased 1,285,336 shares of Class A common stock under the 2025 Share Repurchase Program, at a total cost to the Company of $3.0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June 30, 2026, the Company had approximately $39.8 million remaining under the 2025 Share Repurchase Program, not including amounts used for net share settlement of vested equity incentive awards.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Tender Offer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May 13, 2026, the Company announced the commencement of a modified “Dutch auction” tender offer to purchase shares of its Class A common stock for an aggregate purchase price of up to $25.0 million at a price per share of not less than $0.98 and not more than $1.20 (the “Tender Offer”). The Tender Offer was not conditioned upon any minimum number of shares being tendered and was not subject to a financing condition. The Tender Offer expired on June 10, 2026. The Company accepted 6,053,023 shares for purchase at the purchase price of $1.20 per share, for a total cost of $8.0 million, including $0.7 million of fees and expenses related to the Tender Offer.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9 – SEGMENT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operates as one reportable segment because its chief operating decision maker ("CODM"), a committee that consists of the chief executive officer, the chief financial officer, and the chief strategy officer, reviews the Company’s financial information on a consolidated basis for purposes of making decisions regarding allocating resources and assessing performance. Accordingly, the CODM uses Net loss on a consolidated basis to measure segment profit or loss and reviews significant segment expenses on a consolidated basis to manage the Company's operations, which includes Cost of revenue, net, Research and development, General and administrative, and Sales and marketing. All significant segment expenses are presented on the Condensed Consolidated Statements of Operations. Interest income is recorded within Other income, net on the Condensed Consolidated Statements of Operations. Interest income was $0.4 million and $0.5 million for the three months ended June 30, 2026 and 2025, respectively. Interest income was $0.9 million during each of the six months ended June 30, 2026 and 2025. The measure of segment assets is Total assets as reported on the Condensed Consolidated Balance Sheets. Substantially all long-lived assets are located in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2. Management's Discussion and Analysis of Financial Condition and Results of Operations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2025 ("2025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2025 Annual Report and included elsewhere in this Quarterly Report on Form 10-Q. See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is a leading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1.9 billion expense transactions on our platform as of June 30, 2026, freeing people to spend less time managing expenses and more time doing the things they love. For the quarter ended June 30, 2026, an average of 640,000 paid members across an average of 45,700 companies and over 200 countries and territories used Expensify to make money easy.</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MACROECONOMIC TRENDS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and the operations of our customers, the majority of which are small and medium-sized businesses, depend on the overall state of the economy, and we and they could be negatively impacted by slower economic growth and a potential for a recession. The economy continues to be impacted by elevated inflation rates and faces further inflation risk. Tariff and trade issues, as well as geopolitical uncertainty and instability, including the conflict in the Middle East, also continue to cause overall uncertainty with respect to the economy. See Part I, Item 1A. "Risk Factors" in our 2025 Annual Report and our subsequent filings for further discussion of the possible impact of such macroeconomic trends on our business. Additionally, other potential challenging macroeconomic conditions, and the resulting impact on business continuity and travel, could negatively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Components of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based on the usage of our cloud-based expense management software platform under arrangements paid monthly in arrears that are either (i) month-to-month and can be terminated by either party without penalty at any time or (ii) 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 Revenue earned from subscription fees was $30.8 million and $32.9 million for the three months ended June 30, 2026 and 2025, respectively. Revenue earned from subscription fees was $61.7 million and $66.1 million for the six months ended June 30, 2026 and 2025, respectively.</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We also offer an Expensify charge card (the "Expensify Card"), which </w:t>
      </w:r>
      <w:r>
        <w:rPr>
          <w:rFonts w:ascii="Expensify Neue;sans-serif" w:hAnsi="Expensify Neue;sans-serif"/>
          <w:b w:val="false"/>
          <w:color w:val="000000"/>
          <w:sz w:val="20"/>
        </w:rPr>
        <w:t xml:space="preserve">operates under an agreement with the issuing bank, </w:t>
      </w:r>
      <w:r>
        <w:rPr>
          <w:rFonts w:ascii="Expensify Neue;sans-serif" w:hAnsi="Expensify Neue;sans-serif"/>
          <w:b w:val="false"/>
          <w:color w:val="000000"/>
          <w:sz w:val="20"/>
          <w:shd w:fill="FFFFFF" w:val="clear"/>
        </w:rPr>
        <w:t>The Bancorp Bank, N.A. ("Bancorp"),</w:t>
      </w:r>
      <w:r>
        <w:rPr>
          <w:color w:val="000000"/>
        </w:rPr>
        <w:t xml:space="preserve"> </w:t>
      </w:r>
      <w:r>
        <w:rPr>
          <w:rFonts w:ascii="Expensify Neue;sans-serif" w:hAnsi="Expensify Neue;sans-serif"/>
          <w:b w:val="false"/>
          <w:color w:val="000000"/>
          <w:sz w:val="20"/>
        </w:rPr>
        <w:t>to issue Expensify Cards to customers and authorize and settle transactions on the Visa card network.</w:t>
      </w:r>
    </w:p>
    <w:p>
      <w:pPr>
        <w:pStyle w:val="TextBody"/>
        <w:bidi w:val="0"/>
        <w:spacing w:lineRule="auto" w:line="288" w:before="0" w:after="160"/>
        <w:jc w:val="left"/>
        <w:rPr/>
      </w:pPr>
      <w:r>
        <w:rPr>
          <w:rFonts w:ascii="Expensify Neue;sans-serif" w:hAnsi="Expensify Neue;sans-serif"/>
          <w:b w:val="false"/>
          <w:color w:val="000000"/>
          <w:sz w:val="20"/>
          <w:shd w:fill="FFFFFF" w:val="clear"/>
        </w:rPr>
        <w:t>Under the Expensify Card program, we generate revenue from the authorization and settlement of Expensify Card transactions and are contractually entitled to all interchange generated on Expensify Card transactions based on our agreement with Bancorp. We are the principal in the transaction and recognize interchange as revenue on a gross basis within Revenue, net on the Condensed Consolidated Statements of Operations.</w:t>
      </w:r>
      <w:r>
        <w:rPr>
          <w:color w:val="000000"/>
        </w:rPr>
        <w:t xml:space="preserve"> </w:t>
      </w:r>
      <w:r>
        <w:rPr>
          <w:rFonts w:ascii="Expensify Neue;sans-serif" w:hAnsi="Expensify Neue;sans-serif"/>
          <w:b w:val="false"/>
          <w:color w:val="000000"/>
          <w:sz w:val="20"/>
        </w:rPr>
        <w:t>Interchange revenue was $5.9 million and $5.3 million for the three months ended June 30, 2026 and 2025, respectively. Interchange revenue was $11.5 million and $10.3 million for the six months ended June 30, 2026 and 2025,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a cashback rewards program to all customers under the Expensify Card program based on volume of Expensify Card transactions. Cashback rewards are earned on a monthly basis and are applied against outstanding customer receivables or are paid out in the following month. We consider our cashback rewards as consideration payable to a customer, and they are recorded as contra revenue within Revenue, net on the Condensed Consolidated Statements of Operations. Cashback rewards applied against outstanding customer receivables are reflected as a reduction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and based on the timing of payments made to customers. The cost of cashback rewards was $3.0 million and $2.5 million for the three months ended June 30, 2026 and 2025, respectively. The cost of cashback rewards was $5.6 million and $4.8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primarily consists of personnel-related expenses, including stock-based compensation, attributable to supporting our customers and maintenance of our platform, amortization expense on capitalized software development costs, expenses related to hosting our service, including the costs of data center capacity, credit card processing fees, third-party software license fees, amortization of finance lease right-of-use assets, outsourcing engineering costs to maintain our platform, and outsourcing costs to support customer service, net of consideration from a vendor under the Expensify Card program for certain volume-based incentives from Visa.</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Expensify Card program, we receive consideration from a vendor for certain volume-based incentives from Visa, which are included as a reduction to Cost of revenue, net on the Condensed Consolidated Statements of Operations as they are earned. Amounts earned under these volume-based incentives were $0.2 million and $0.8 million for the three months ended June 30, 2026 and 2025, respectively. Amounts earned under these volume-based incentives were $0.5 million and $1.0 million for the six months ended June 30, 2026 and 2025, respectively.</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OPERATING EXPENSES</w:t>
      </w:r>
    </w:p>
    <w:p>
      <w:pPr>
        <w:pStyle w:val="TextBody"/>
        <w:bidi w:val="0"/>
        <w:spacing w:lineRule="auto" w:line="288" w:before="0" w:after="160"/>
        <w:jc w:val="left"/>
        <w:rPr/>
      </w:pPr>
      <w:r>
        <w:rPr>
          <w:rFonts w:ascii="Expensify Neue;sans-serif" w:hAnsi="Expensify Neue;sans-serif"/>
          <w:b/>
          <w:i/>
          <w:color w:val="000000"/>
          <w:sz w:val="20"/>
        </w:rPr>
        <w:t>Research and Development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Research and development expenses consist primarily of personnel-related expenses, including stock-based compensation, and external contributor costs incurred related to the planning and preliminary project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on property and equipment, amortization of operating lease right-of-use assets, information technology, external professional services, including finance and accounting, audit, tax, legal and compliance, and human resources, third-party software license fees, and settlement losses, net of recoveries.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we provide to our referral and affiliate partners.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 consists primarily of interest income. It also includes the results of operations of our Fifth &amp; Harvey, LLC subsidiary, which holds title to and manages operations of the operating lease for lots in Portland, Oregon that are currently used to host multiple portable food vendors open to the general public, as well as realized gains and losses on foreign currency transactions and foreign currency remeasurement.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Benefit from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Income taxes primarily consist of income taxes in the United States, United Kingdom, Australia, Netherlands and Canada, as well as states within the United States in which we do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4, 2025, H.R.1 was enacted into law, which introduced provisions that modified the Internal Revenue Code (“IRC”), including the immediate expensing of domestic research and development expenditures for tax purposes. As previously required under the Tax Cuts and Jobs Act, we capitalized and amortized research and experimental (“R&amp;D”) expenditures under IRC Section 174 for tax years beginning after December 31, 2021. With the enactment of H.R.1 in 2025, we began deducting domestic Section 174 costs in the year they were incurred. We will continue to capitalize and amortize R&amp;D costs over 15 years for R&amp;D performed outside of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results of operations presented below should be reviewed in conjunction with the condensed consolidated financial statements and notes included elsewhere in this Quarterly Report on Form 10-Q.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our results of operations for each of the periods presented (in thousands, except percentages, share and per share data):</w:t>
      </w:r>
    </w:p>
    <w:tbl>
      <w:tblPr>
        <w:tblW w:w="10205" w:type="dxa"/>
        <w:jc w:val="left"/>
        <w:tblInd w:w="0" w:type="dxa"/>
        <w:tblLayout w:type="fixed"/>
        <w:tblCellMar>
          <w:top w:w="28" w:type="dxa"/>
          <w:left w:w="28" w:type="dxa"/>
          <w:bottom w:w="28" w:type="dxa"/>
          <w:right w:w="28" w:type="dxa"/>
        </w:tblCellMar>
      </w:tblPr>
      <w:tblGrid>
        <w:gridCol w:w="1385"/>
        <w:gridCol w:w="831"/>
        <w:gridCol w:w="834"/>
        <w:gridCol w:w="267"/>
        <w:gridCol w:w="979"/>
        <w:gridCol w:w="286"/>
        <w:gridCol w:w="109"/>
        <w:gridCol w:w="109"/>
        <w:gridCol w:w="109"/>
        <w:gridCol w:w="267"/>
        <w:gridCol w:w="979"/>
        <w:gridCol w:w="286"/>
        <w:gridCol w:w="109"/>
        <w:gridCol w:w="109"/>
        <w:gridCol w:w="109"/>
        <w:gridCol w:w="267"/>
        <w:gridCol w:w="979"/>
        <w:gridCol w:w="286"/>
        <w:gridCol w:w="109"/>
        <w:gridCol w:w="109"/>
        <w:gridCol w:w="109"/>
        <w:gridCol w:w="263"/>
        <w:gridCol w:w="983"/>
        <w:gridCol w:w="332"/>
      </w:tblGrid>
      <w:tr>
        <w:trPr/>
        <w:tc>
          <w:tcPr>
            <w:tcW w:w="13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 net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35,764 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67,835 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71,838 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Cost of revenue, net</w:t>
            </w:r>
            <w:r>
              <w:rPr>
                <w:rFonts w:ascii="Expensify Neue;sans-serif" w:hAnsi="Expensify Neue;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35,333 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35,019 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16,330 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18,577 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36,819 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Research and development</w:t>
            </w:r>
            <w:r>
              <w:rPr>
                <w:rFonts w:ascii="Expensify Neue;sans-serif" w:hAnsi="Expensify Neue;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10,516 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General and administrative</w:t>
            </w:r>
            <w:r>
              <w:rPr>
                <w:rFonts w:ascii="Expensify Neue;sans-serif" w:hAnsi="Expensify Neue;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20,240 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Sales and marketing</w:t>
            </w:r>
            <w:r>
              <w:rPr>
                <w:rFonts w:ascii="Expensify Neue;sans-serif" w:hAnsi="Expensify Neue;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17,888 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19,251 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28,915 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37,395 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48,644 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(2,921)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(4,893)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(11,825)</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(2,719)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(9,449)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(4,520)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(10,612)</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benefit from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(3,851)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(8,788)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(6,188)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(11,957)</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(0.13)</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95,441,380 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92,271,924 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94,585,048 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91,888,633 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0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(1)Includes stock-based compensation expense as follows (in thousands):</w:t>
      </w:r>
    </w:p>
    <w:tbl>
      <w:tblPr>
        <w:tblW w:w="9441" w:type="dxa"/>
        <w:jc w:val="left"/>
        <w:tblInd w:w="0" w:type="dxa"/>
        <w:tblLayout w:type="fixed"/>
        <w:tblCellMar>
          <w:top w:w="28" w:type="dxa"/>
          <w:left w:w="28" w:type="dxa"/>
          <w:bottom w:w="28" w:type="dxa"/>
          <w:right w:w="28" w:type="dxa"/>
        </w:tblCellMar>
      </w:tblPr>
      <w:tblGrid>
        <w:gridCol w:w="1297"/>
        <w:gridCol w:w="1140"/>
        <w:gridCol w:w="1148"/>
        <w:gridCol w:w="275"/>
        <w:gridCol w:w="802"/>
        <w:gridCol w:w="142"/>
        <w:gridCol w:w="142"/>
        <w:gridCol w:w="142"/>
        <w:gridCol w:w="142"/>
        <w:gridCol w:w="275"/>
        <w:gridCol w:w="802"/>
        <w:gridCol w:w="142"/>
        <w:gridCol w:w="109"/>
        <w:gridCol w:w="109"/>
        <w:gridCol w:w="109"/>
        <w:gridCol w:w="229"/>
        <w:gridCol w:w="784"/>
        <w:gridCol w:w="118"/>
        <w:gridCol w:w="118"/>
        <w:gridCol w:w="118"/>
        <w:gridCol w:w="118"/>
        <w:gridCol w:w="229"/>
        <w:gridCol w:w="784"/>
        <w:gridCol w:w="167"/>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Cost of revenue, net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2,420 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2,770 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4,731 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5,809 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Research and development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2,058 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2,018 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3,920 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4,421 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General and administrative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2,427 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Sales and marketing</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stock-based compensation expense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7,211 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6,927 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13,188 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14,917 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COMPARISON OF THE THREE MONTHS ENDED JUNE 30, 2026 AND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 Net</w:t>
      </w:r>
    </w:p>
    <w:tbl>
      <w:tblPr>
        <w:tblW w:w="6759" w:type="dxa"/>
        <w:jc w:val="left"/>
        <w:tblInd w:w="0" w:type="dxa"/>
        <w:tblLayout w:type="fixed"/>
        <w:tblCellMar>
          <w:top w:w="28" w:type="dxa"/>
          <w:left w:w="28" w:type="dxa"/>
          <w:bottom w:w="28" w:type="dxa"/>
          <w:right w:w="28" w:type="dxa"/>
        </w:tblCellMar>
      </w:tblPr>
      <w:tblGrid>
        <w:gridCol w:w="510"/>
        <w:gridCol w:w="449"/>
        <w:gridCol w:w="450"/>
        <w:gridCol w:w="244"/>
        <w:gridCol w:w="893"/>
        <w:gridCol w:w="117"/>
        <w:gridCol w:w="117"/>
        <w:gridCol w:w="117"/>
        <w:gridCol w:w="117"/>
        <w:gridCol w:w="244"/>
        <w:gridCol w:w="893"/>
        <w:gridCol w:w="117"/>
        <w:gridCol w:w="109"/>
        <w:gridCol w:w="109"/>
        <w:gridCol w:w="109"/>
        <w:gridCol w:w="226"/>
        <w:gridCol w:w="796"/>
        <w:gridCol w:w="109"/>
        <w:gridCol w:w="109"/>
        <w:gridCol w:w="109"/>
        <w:gridCol w:w="109"/>
        <w:gridCol w:w="187"/>
        <w:gridCol w:w="188"/>
        <w:gridCol w:w="331"/>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 net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35,764 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14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net decreased $1.9 million, or 5%, for the three months ended June 30, 2026 compared to the same period in 2025, primarily due to (i) a decrease in billable activity across our user base, and (ii) an increase in contra revenue related to cashback payments driven by the increased adoption and spend captured from members using the Expensify Card. This decrease was partially offset by an increase in interchange revenue driven by the adoption of the Expensify Card program.</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713" w:type="dxa"/>
        <w:jc w:val="center"/>
        <w:tblInd w:w="0" w:type="dxa"/>
        <w:tblLayout w:type="fixed"/>
        <w:tblCellMar>
          <w:top w:w="28" w:type="dxa"/>
          <w:left w:w="28" w:type="dxa"/>
          <w:bottom w:w="28" w:type="dxa"/>
          <w:right w:w="28" w:type="dxa"/>
        </w:tblCellMar>
      </w:tblPr>
      <w:tblGrid>
        <w:gridCol w:w="759"/>
        <w:gridCol w:w="669"/>
        <w:gridCol w:w="671"/>
        <w:gridCol w:w="226"/>
        <w:gridCol w:w="826"/>
        <w:gridCol w:w="286"/>
        <w:gridCol w:w="109"/>
        <w:gridCol w:w="109"/>
        <w:gridCol w:w="109"/>
        <w:gridCol w:w="226"/>
        <w:gridCol w:w="826"/>
        <w:gridCol w:w="286"/>
        <w:gridCol w:w="109"/>
        <w:gridCol w:w="109"/>
        <w:gridCol w:w="109"/>
        <w:gridCol w:w="226"/>
        <w:gridCol w:w="796"/>
        <w:gridCol w:w="109"/>
        <w:gridCol w:w="109"/>
        <w:gridCol w:w="109"/>
        <w:gridCol w:w="109"/>
        <w:gridCol w:w="247"/>
        <w:gridCol w:w="248"/>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16,330 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18,577 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$0.3 million or 2% for the three months ended June 30, 2026 compared to the same period in 2025, primarily due to an increase in amortization expense related to capitalized software. The increase was partially offset by savings generated from the increased use of artificial intelligence ("AI") in place of human agents.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margin decreased to 48% for the three months ended June 30, 2026 compared to 52% in the same period in 2025 due to the factors described in the preceding paragraphs for Revenue, Net and Cost of revenue, net.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7960" w:type="dxa"/>
        <w:jc w:val="left"/>
        <w:tblInd w:w="0" w:type="dxa"/>
        <w:tblLayout w:type="fixed"/>
        <w:tblCellMar>
          <w:top w:w="28" w:type="dxa"/>
          <w:left w:w="28" w:type="dxa"/>
          <w:bottom w:w="28" w:type="dxa"/>
          <w:right w:w="28" w:type="dxa"/>
        </w:tblCellMar>
      </w:tblPr>
      <w:tblGrid>
        <w:gridCol w:w="1010"/>
        <w:gridCol w:w="888"/>
        <w:gridCol w:w="892"/>
        <w:gridCol w:w="268"/>
        <w:gridCol w:w="839"/>
        <w:gridCol w:w="129"/>
        <w:gridCol w:w="129"/>
        <w:gridCol w:w="129"/>
        <w:gridCol w:w="129"/>
        <w:gridCol w:w="268"/>
        <w:gridCol w:w="839"/>
        <w:gridCol w:w="129"/>
        <w:gridCol w:w="109"/>
        <w:gridCol w:w="109"/>
        <w:gridCol w:w="109"/>
        <w:gridCol w:w="226"/>
        <w:gridCol w:w="616"/>
        <w:gridCol w:w="109"/>
        <w:gridCol w:w="109"/>
        <w:gridCol w:w="109"/>
        <w:gridCol w:w="109"/>
        <w:gridCol w:w="187"/>
        <w:gridCol w:w="18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expenses decreased by $0.2 million, or 3%, for the three months ended June 30, 2026 compared to the same period in 2025, primarily due to a decrease in internal employee time spent on project initiatives and new product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7780" w:type="dxa"/>
        <w:jc w:val="center"/>
        <w:tblInd w:w="0" w:type="dxa"/>
        <w:tblLayout w:type="fixed"/>
        <w:tblCellMar>
          <w:top w:w="28" w:type="dxa"/>
          <w:left w:w="28" w:type="dxa"/>
          <w:bottom w:w="28" w:type="dxa"/>
          <w:right w:w="28" w:type="dxa"/>
        </w:tblCellMar>
      </w:tblPr>
      <w:tblGrid>
        <w:gridCol w:w="1010"/>
        <w:gridCol w:w="888"/>
        <w:gridCol w:w="891"/>
        <w:gridCol w:w="268"/>
        <w:gridCol w:w="839"/>
        <w:gridCol w:w="129"/>
        <w:gridCol w:w="129"/>
        <w:gridCol w:w="129"/>
        <w:gridCol w:w="129"/>
        <w:gridCol w:w="268"/>
        <w:gridCol w:w="839"/>
        <w:gridCol w:w="129"/>
        <w:gridCol w:w="109"/>
        <w:gridCol w:w="109"/>
        <w:gridCol w:w="109"/>
        <w:gridCol w:w="226"/>
        <w:gridCol w:w="526"/>
        <w:gridCol w:w="109"/>
        <w:gridCol w:w="109"/>
        <w:gridCol w:w="109"/>
        <w:gridCol w:w="109"/>
        <w:gridCol w:w="143"/>
        <w:gridCol w:w="143"/>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increased $0.2 million, or 2%, for the three months ended June 30, 2026 compared to the same period in 2025, primarily due to an increase in employee time spent on general and administrative activities.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7604" w:type="dxa"/>
        <w:jc w:val="center"/>
        <w:tblInd w:w="0" w:type="dxa"/>
        <w:tblLayout w:type="fixed"/>
        <w:tblCellMar>
          <w:top w:w="28" w:type="dxa"/>
          <w:left w:w="28" w:type="dxa"/>
          <w:bottom w:w="28" w:type="dxa"/>
          <w:right w:w="28" w:type="dxa"/>
        </w:tblCellMar>
      </w:tblPr>
      <w:tblGrid>
        <w:gridCol w:w="772"/>
        <w:gridCol w:w="677"/>
        <w:gridCol w:w="681"/>
        <w:gridCol w:w="256"/>
        <w:gridCol w:w="800"/>
        <w:gridCol w:w="123"/>
        <w:gridCol w:w="123"/>
        <w:gridCol w:w="123"/>
        <w:gridCol w:w="123"/>
        <w:gridCol w:w="256"/>
        <w:gridCol w:w="936"/>
        <w:gridCol w:w="123"/>
        <w:gridCol w:w="109"/>
        <w:gridCol w:w="109"/>
        <w:gridCol w:w="109"/>
        <w:gridCol w:w="226"/>
        <w:gridCol w:w="796"/>
        <w:gridCol w:w="109"/>
        <w:gridCol w:w="109"/>
        <w:gridCol w:w="109"/>
        <w:gridCol w:w="109"/>
        <w:gridCol w:w="247"/>
        <w:gridCol w:w="248"/>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decreased $9.7 million, or 67%, for the three months ended June 30, 2026 compared to the same period in 2025, primarily due to elevated advertising spend in 2025 related to our title sponsorship of F1® The Movie, which was released in theaters in June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Net</w:t>
      </w:r>
    </w:p>
    <w:tbl>
      <w:tblPr>
        <w:tblW w:w="7167" w:type="dxa"/>
        <w:jc w:val="left"/>
        <w:tblInd w:w="0" w:type="dxa"/>
        <w:tblLayout w:type="fixed"/>
        <w:tblCellMar>
          <w:top w:w="28" w:type="dxa"/>
          <w:left w:w="28" w:type="dxa"/>
          <w:bottom w:w="28" w:type="dxa"/>
          <w:right w:w="28" w:type="dxa"/>
        </w:tblCellMar>
      </w:tblPr>
      <w:tblGrid>
        <w:gridCol w:w="678"/>
        <w:gridCol w:w="597"/>
        <w:gridCol w:w="599"/>
        <w:gridCol w:w="316"/>
        <w:gridCol w:w="735"/>
        <w:gridCol w:w="152"/>
        <w:gridCol w:w="152"/>
        <w:gridCol w:w="152"/>
        <w:gridCol w:w="152"/>
        <w:gridCol w:w="316"/>
        <w:gridCol w:w="735"/>
        <w:gridCol w:w="152"/>
        <w:gridCol w:w="109"/>
        <w:gridCol w:w="109"/>
        <w:gridCol w:w="109"/>
        <w:gridCol w:w="226"/>
        <w:gridCol w:w="616"/>
        <w:gridCol w:w="109"/>
        <w:gridCol w:w="109"/>
        <w:gridCol w:w="109"/>
        <w:gridCol w:w="109"/>
        <w:gridCol w:w="247"/>
        <w:gridCol w:w="248"/>
        <w:gridCol w:w="331"/>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18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 decreased by $0.7 million, or 77%, for the three months ended June 30, 2026 compared to the same period in 2025, primarily due to the net impact of period-over-period foreign currency gains and losses.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Benefit from Income Taxes</w:t>
      </w:r>
    </w:p>
    <w:tbl>
      <w:tblPr>
        <w:tblW w:w="9731" w:type="dxa"/>
        <w:jc w:val="left"/>
        <w:tblInd w:w="0" w:type="dxa"/>
        <w:tblLayout w:type="fixed"/>
        <w:tblCellMar>
          <w:top w:w="28" w:type="dxa"/>
          <w:left w:w="28" w:type="dxa"/>
          <w:bottom w:w="28" w:type="dxa"/>
          <w:right w:w="28" w:type="dxa"/>
        </w:tblCellMar>
      </w:tblPr>
      <w:tblGrid>
        <w:gridCol w:w="1499"/>
        <w:gridCol w:w="1318"/>
        <w:gridCol w:w="1322"/>
        <w:gridCol w:w="279"/>
        <w:gridCol w:w="983"/>
        <w:gridCol w:w="134"/>
        <w:gridCol w:w="134"/>
        <w:gridCol w:w="134"/>
        <w:gridCol w:w="134"/>
        <w:gridCol w:w="279"/>
        <w:gridCol w:w="650"/>
        <w:gridCol w:w="134"/>
        <w:gridCol w:w="109"/>
        <w:gridCol w:w="109"/>
        <w:gridCol w:w="109"/>
        <w:gridCol w:w="226"/>
        <w:gridCol w:w="796"/>
        <w:gridCol w:w="109"/>
        <w:gridCol w:w="109"/>
        <w:gridCol w:w="109"/>
        <w:gridCol w:w="109"/>
        <w:gridCol w:w="307"/>
        <w:gridCol w:w="308"/>
        <w:gridCol w:w="331"/>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benefit from income taxes</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41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recorded a provision for income taxes of $1.1 million for the three months ended June 30, 2026 compared to a benefit from income taxes of $0.7 million for the same period in 2025.</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three months ended June 30, 2026 and 2025, our effective income tax rate was (41.6)% and 7.0%, respectively. The effective income tax rate differs from the statutory rate in 2026 primarily due to non-deductible stock-based compensation and Section 162(m) of the Internal Revenue Code compensation limitations, partially offset by the change in the valuation allowance. The effective income tax rate differs from the statutory rate in 2025 primarily due to non-deductible stock-based compensation and the change in the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COMPARISON OF THE SIX MONTHS ENDED JUNE 30, 2026 AND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 Net</w:t>
      </w:r>
    </w:p>
    <w:tbl>
      <w:tblPr>
        <w:tblW w:w="6549" w:type="dxa"/>
        <w:jc w:val="left"/>
        <w:tblInd w:w="0" w:type="dxa"/>
        <w:tblLayout w:type="fixed"/>
        <w:tblCellMar>
          <w:top w:w="28" w:type="dxa"/>
          <w:left w:w="28" w:type="dxa"/>
          <w:bottom w:w="28" w:type="dxa"/>
          <w:right w:w="28" w:type="dxa"/>
        </w:tblCellMar>
      </w:tblPr>
      <w:tblGrid>
        <w:gridCol w:w="510"/>
        <w:gridCol w:w="449"/>
        <w:gridCol w:w="450"/>
        <w:gridCol w:w="226"/>
        <w:gridCol w:w="826"/>
        <w:gridCol w:w="109"/>
        <w:gridCol w:w="109"/>
        <w:gridCol w:w="109"/>
        <w:gridCol w:w="109"/>
        <w:gridCol w:w="226"/>
        <w:gridCol w:w="826"/>
        <w:gridCol w:w="109"/>
        <w:gridCol w:w="109"/>
        <w:gridCol w:w="109"/>
        <w:gridCol w:w="109"/>
        <w:gridCol w:w="226"/>
        <w:gridCol w:w="796"/>
        <w:gridCol w:w="109"/>
        <w:gridCol w:w="109"/>
        <w:gridCol w:w="109"/>
        <w:gridCol w:w="109"/>
        <w:gridCol w:w="187"/>
        <w:gridCol w:w="188"/>
        <w:gridCol w:w="331"/>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14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net decreased $4.0 million, or 6%, for the six months ended June 30, 2026 compared to the same period in 2025, primarily due to (i) a decrease in billable activity across our user base, and (ii) an increase in contra revenue related to cashback payments driven by the increased adoption and spend captured from members using the Expensify Card. This decrease was partially offset by an increase in interchange revenue driven by the adoption of the Expensify Card program.</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713" w:type="dxa"/>
        <w:jc w:val="center"/>
        <w:tblInd w:w="0" w:type="dxa"/>
        <w:tblLayout w:type="fixed"/>
        <w:tblCellMar>
          <w:top w:w="28" w:type="dxa"/>
          <w:left w:w="28" w:type="dxa"/>
          <w:bottom w:w="28" w:type="dxa"/>
          <w:right w:w="28" w:type="dxa"/>
        </w:tblCellMar>
      </w:tblPr>
      <w:tblGrid>
        <w:gridCol w:w="759"/>
        <w:gridCol w:w="669"/>
        <w:gridCol w:w="671"/>
        <w:gridCol w:w="226"/>
        <w:gridCol w:w="826"/>
        <w:gridCol w:w="286"/>
        <w:gridCol w:w="109"/>
        <w:gridCol w:w="109"/>
        <w:gridCol w:w="109"/>
        <w:gridCol w:w="226"/>
        <w:gridCol w:w="826"/>
        <w:gridCol w:w="286"/>
        <w:gridCol w:w="109"/>
        <w:gridCol w:w="109"/>
        <w:gridCol w:w="109"/>
        <w:gridCol w:w="226"/>
        <w:gridCol w:w="796"/>
        <w:gridCol w:w="109"/>
        <w:gridCol w:w="109"/>
        <w:gridCol w:w="109"/>
        <w:gridCol w:w="109"/>
        <w:gridCol w:w="247"/>
        <w:gridCol w:w="248"/>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35,333 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35,019 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36,819 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by $0.3 million, or 1%, for the six months ended June 30, 2026 compared to the same period in 2025, primarily due to an increase in amortization expense related to capitalized software. The increase was partially offset by savings generated from the increased use of AI in place of human agents.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margin decreased to 48% for the six months ended June 30, 2026 compared to 51% in the same period in 2025 due to the factors described in the preceding paragraphs for Revenue, net and Cost of revenue, net.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7750" w:type="dxa"/>
        <w:jc w:val="left"/>
        <w:tblInd w:w="0" w:type="dxa"/>
        <w:tblLayout w:type="fixed"/>
        <w:tblCellMar>
          <w:top w:w="28" w:type="dxa"/>
          <w:left w:w="28" w:type="dxa"/>
          <w:bottom w:w="28" w:type="dxa"/>
          <w:right w:w="28" w:type="dxa"/>
        </w:tblCellMar>
      </w:tblPr>
      <w:tblGrid>
        <w:gridCol w:w="1010"/>
        <w:gridCol w:w="888"/>
        <w:gridCol w:w="892"/>
        <w:gridCol w:w="226"/>
        <w:gridCol w:w="826"/>
        <w:gridCol w:w="109"/>
        <w:gridCol w:w="109"/>
        <w:gridCol w:w="109"/>
        <w:gridCol w:w="109"/>
        <w:gridCol w:w="226"/>
        <w:gridCol w:w="826"/>
        <w:gridCol w:w="109"/>
        <w:gridCol w:w="109"/>
        <w:gridCol w:w="109"/>
        <w:gridCol w:w="109"/>
        <w:gridCol w:w="226"/>
        <w:gridCol w:w="616"/>
        <w:gridCol w:w="109"/>
        <w:gridCol w:w="109"/>
        <w:gridCol w:w="109"/>
        <w:gridCol w:w="109"/>
        <w:gridCol w:w="187"/>
        <w:gridCol w:w="18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expenses decreased by $0.3 million, or 3%, for the six months ended June 30, 2026 compared to the same period in 2025, primarily due to an increase in internal employee time spent in the application development stage of projects capitalized as software 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7929" w:type="dxa"/>
        <w:jc w:val="center"/>
        <w:tblInd w:w="0" w:type="dxa"/>
        <w:tblLayout w:type="fixed"/>
        <w:tblCellMar>
          <w:top w:w="28" w:type="dxa"/>
          <w:left w:w="28" w:type="dxa"/>
          <w:bottom w:w="28" w:type="dxa"/>
          <w:right w:w="28" w:type="dxa"/>
        </w:tblCellMar>
      </w:tblPr>
      <w:tblGrid>
        <w:gridCol w:w="1010"/>
        <w:gridCol w:w="888"/>
        <w:gridCol w:w="891"/>
        <w:gridCol w:w="226"/>
        <w:gridCol w:w="826"/>
        <w:gridCol w:w="109"/>
        <w:gridCol w:w="109"/>
        <w:gridCol w:w="109"/>
        <w:gridCol w:w="109"/>
        <w:gridCol w:w="226"/>
        <w:gridCol w:w="826"/>
        <w:gridCol w:w="109"/>
        <w:gridCol w:w="109"/>
        <w:gridCol w:w="109"/>
        <w:gridCol w:w="109"/>
        <w:gridCol w:w="226"/>
        <w:gridCol w:w="796"/>
        <w:gridCol w:w="109"/>
        <w:gridCol w:w="109"/>
        <w:gridCol w:w="109"/>
        <w:gridCol w:w="109"/>
        <w:gridCol w:w="187"/>
        <w:gridCol w:w="18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decreased $1.5 million, or 8%, for the six months ended June 30, 2026 compared to the same period in 2025, primarily due to (i) a decrease in settlement losses, net of recoveries, and (ii) a decrease in accounting and audit fees.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7364" w:type="dxa"/>
        <w:jc w:val="center"/>
        <w:tblInd w:w="0" w:type="dxa"/>
        <w:tblLayout w:type="fixed"/>
        <w:tblCellMar>
          <w:top w:w="28" w:type="dxa"/>
          <w:left w:w="28" w:type="dxa"/>
          <w:bottom w:w="28" w:type="dxa"/>
          <w:right w:w="28" w:type="dxa"/>
        </w:tblCellMar>
      </w:tblPr>
      <w:tblGrid>
        <w:gridCol w:w="772"/>
        <w:gridCol w:w="677"/>
        <w:gridCol w:w="681"/>
        <w:gridCol w:w="234"/>
        <w:gridCol w:w="733"/>
        <w:gridCol w:w="113"/>
        <w:gridCol w:w="113"/>
        <w:gridCol w:w="113"/>
        <w:gridCol w:w="113"/>
        <w:gridCol w:w="234"/>
        <w:gridCol w:w="857"/>
        <w:gridCol w:w="113"/>
        <w:gridCol w:w="109"/>
        <w:gridCol w:w="109"/>
        <w:gridCol w:w="109"/>
        <w:gridCol w:w="226"/>
        <w:gridCol w:w="796"/>
        <w:gridCol w:w="109"/>
        <w:gridCol w:w="109"/>
        <w:gridCol w:w="109"/>
        <w:gridCol w:w="109"/>
        <w:gridCol w:w="247"/>
        <w:gridCol w:w="248"/>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decreased $9.5 million, or 53%, for the six months ended June 30, 2026 compared to the same period in 2025, primarily due to elevated advertising spend in 2025 related to our title sponsorship of F1® The Movie, which was released in theaters in June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Net</w:t>
      </w:r>
    </w:p>
    <w:tbl>
      <w:tblPr>
        <w:tblW w:w="6927" w:type="dxa"/>
        <w:jc w:val="left"/>
        <w:tblInd w:w="0" w:type="dxa"/>
        <w:tblLayout w:type="fixed"/>
        <w:tblCellMar>
          <w:top w:w="28" w:type="dxa"/>
          <w:left w:w="28" w:type="dxa"/>
          <w:bottom w:w="28" w:type="dxa"/>
          <w:right w:w="28" w:type="dxa"/>
        </w:tblCellMar>
      </w:tblPr>
      <w:tblGrid>
        <w:gridCol w:w="678"/>
        <w:gridCol w:w="597"/>
        <w:gridCol w:w="599"/>
        <w:gridCol w:w="266"/>
        <w:gridCol w:w="619"/>
        <w:gridCol w:w="128"/>
        <w:gridCol w:w="128"/>
        <w:gridCol w:w="128"/>
        <w:gridCol w:w="128"/>
        <w:gridCol w:w="266"/>
        <w:gridCol w:w="831"/>
        <w:gridCol w:w="128"/>
        <w:gridCol w:w="109"/>
        <w:gridCol w:w="109"/>
        <w:gridCol w:w="109"/>
        <w:gridCol w:w="226"/>
        <w:gridCol w:w="616"/>
        <w:gridCol w:w="109"/>
        <w:gridCol w:w="109"/>
        <w:gridCol w:w="109"/>
        <w:gridCol w:w="109"/>
        <w:gridCol w:w="247"/>
        <w:gridCol w:w="248"/>
        <w:gridCol w:w="331"/>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18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 decreased $0.8 million, or 69%, for the six months ended June 30, 2026 compared to the same period in 2025, primarily due to the net impact of period-over-period foreign currency gains and losses.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7693" w:type="dxa"/>
        <w:jc w:val="left"/>
        <w:tblInd w:w="0" w:type="dxa"/>
        <w:tblLayout w:type="fixed"/>
        <w:tblCellMar>
          <w:top w:w="28" w:type="dxa"/>
          <w:left w:w="28" w:type="dxa"/>
          <w:bottom w:w="28" w:type="dxa"/>
          <w:right w:w="28" w:type="dxa"/>
        </w:tblCellMar>
      </w:tblPr>
      <w:tblGrid>
        <w:gridCol w:w="989"/>
        <w:gridCol w:w="869"/>
        <w:gridCol w:w="871"/>
        <w:gridCol w:w="229"/>
        <w:gridCol w:w="807"/>
        <w:gridCol w:w="110"/>
        <w:gridCol w:w="110"/>
        <w:gridCol w:w="110"/>
        <w:gridCol w:w="110"/>
        <w:gridCol w:w="229"/>
        <w:gridCol w:w="807"/>
        <w:gridCol w:w="110"/>
        <w:gridCol w:w="109"/>
        <w:gridCol w:w="109"/>
        <w:gridCol w:w="109"/>
        <w:gridCol w:w="226"/>
        <w:gridCol w:w="616"/>
        <w:gridCol w:w="109"/>
        <w:gridCol w:w="109"/>
        <w:gridCol w:w="109"/>
        <w:gridCol w:w="109"/>
        <w:gridCol w:w="203"/>
        <w:gridCol w:w="203"/>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recorded a provision for income taxes of $1.7 million for the six months ended June 30, 2026 compared to a provision for income taxes of $1.3 million for the same period in 2025.</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six months ended June 30, 2026 and 2025, our effective income tax rate was (36.9)% and (12.7)%, respectively. The effective income tax rate differs from the statutory rate in 2026 and 2025 primarily due to non-deductible stock-based compensation and the change in valuation allowance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Liquidity and Capital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Since our inception, we have financed our operations primarily through our cash flow from operations, sales of our equity securities and borrowings under our credit facilities. As of June 30, 2026, we had $65.8 million in cash and cash equivalents with no outstanding indebtedness and a $7.5 million letter of credit outstanding.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cash flows for the periods indicated (in thousands):</w:t>
      </w:r>
    </w:p>
    <w:tbl>
      <w:tblPr>
        <w:tblW w:w="10205" w:type="dxa"/>
        <w:jc w:val="left"/>
        <w:tblInd w:w="0" w:type="dxa"/>
        <w:tblLayout w:type="fixed"/>
        <w:tblCellMar>
          <w:top w:w="28" w:type="dxa"/>
          <w:left w:w="28" w:type="dxa"/>
          <w:bottom w:w="28" w:type="dxa"/>
          <w:right w:w="28" w:type="dxa"/>
        </w:tblCellMar>
      </w:tblPr>
      <w:tblGrid>
        <w:gridCol w:w="2146"/>
        <w:gridCol w:w="1871"/>
        <w:gridCol w:w="1882"/>
        <w:gridCol w:w="109"/>
        <w:gridCol w:w="109"/>
        <w:gridCol w:w="220"/>
        <w:gridCol w:w="220"/>
        <w:gridCol w:w="458"/>
        <w:gridCol w:w="1432"/>
        <w:gridCol w:w="220"/>
        <w:gridCol w:w="109"/>
        <w:gridCol w:w="109"/>
        <w:gridCol w:w="109"/>
        <w:gridCol w:w="226"/>
        <w:gridCol w:w="826"/>
        <w:gridCol w:w="159"/>
      </w:tblGrid>
      <w:tr>
        <w:trPr/>
        <w:tc>
          <w:tcPr>
            <w:tcW w:w="214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1538" w:type="dxa"/>
            <w:gridSpan w:val="6"/>
            <w:tcBorders/>
          </w:tcPr>
          <w:p>
            <w:pPr>
              <w:pStyle w:val="TableContents"/>
              <w:bidi w:val="0"/>
              <w:spacing w:before="0" w:after="283"/>
              <w:jc w:val="left"/>
              <w:rPr>
                <w:sz w:val="4"/>
                <w:szCs w:val="4"/>
              </w:rPr>
            </w:pPr>
            <w:r>
              <w:rPr>
                <w:sz w:val="4"/>
                <w:szCs w:val="4"/>
              </w:rPr>
            </w:r>
          </w:p>
        </w:tc>
      </w:tr>
      <w:tr>
        <w:trPr/>
        <w:tc>
          <w:tcPr>
            <w:tcW w:w="5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5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8,551 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16,040 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(2,491)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increase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4,994 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11,594 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OPERATING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 was $8.6 million for the six months ended June 30, 2026 as compared to $16.0 million for the same period in 2025. The decrease is primarily due to (i) a decrease in subscription revenue, and (ii) the settlement payment related to the Putative Class Action discussed under Part II, Item 1. "Legal Proceedings" and related legal fees. This was partially offset by a decrease in advertising spend due to elevated advertising spend in 2025 related to our title sponsorship of F1® The Movie, which was released in theaters in June 2025.</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INVESTING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Net cash used in investing activities was $2.5 million for the six months ended June 30, 2026, consisting of software development costs.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 increased for the six months ended June 30, 2026 compared to the same period in 2025, primarily due to an increase in employee and external contributor software development costs.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FINANCING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financing activities was $1.1 million for the six months ended June 30, 2026, primarily consisting of the repurchase and retirement of common stock primarily due to the Tender Offer and additional share repurchases described below. This was partially offset by (i) the change in customer funds, net, and (ii) proceeds from common stock purchased under the 2021 Stock Purchase and Matching Plan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financing activities decreased for the six months ended June 30, 2026 compared to the same period in 2025, primarily due to (i) the change in customer funds, net, and (ii) proceeds from common stock purchased under the Matching Plan, partially offset by the repurchase and retirement of common stock primarily due to the Tender Offer and additional share repurchases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Share Repurchase Program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25, 2025, the Executive Committee approved a share repurchase program with authorization to purchase up to $50.0 million of shares of Class A common stock that expires on March 31, 2028 ("2025 Share Repurchase Program"). Under the 2025 Share Repurchase Program, we may repurchase shares from time to time through open market purchases, in privately negotiated transactions 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current and future debt agreements and other considerations. The 2025 Share Repurchase Program does not obligate us to acquire any particular amount of Class A common stock, and the program may be suspended or terminated by us at any time at our discretion without prior notice.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June 30, 2026, we had $39.8 million remaining under the 2025 Share Repurchase Program, not including amounts used for net share settlement of vested equity incentive awards.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Tender Offer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May 13, 2026, we announced the commencement of a modified “Dutch auction” tender offer to purchase shares of our Class A common stock for an aggregate purchase price of up to $25.0 million at a price per share of not less than $0.98 and not more than $1.20 (the “Tender Offer”). The Tender Offer was not conditioned upon any minimum number of shares being tendered and was not subject to a financing condition. The Tender Offer expired on June 10, 2026. We accepted 6,053,023 shares for purchase at the purchase price of $1.20 per share, for a total cost of $8.0 million, including $0.7 million of fees and expenses related to the Tender Offer.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8 to our condensed consolidated financial statements included elsewhere in this Quarterly Report on Form 10-Q for further information about the Share Repurchase Program and Tender Offer.</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Loan and Security Agreement</w:t>
      </w:r>
    </w:p>
    <w:p>
      <w:pPr>
        <w:pStyle w:val="TextBody"/>
        <w:bidi w:val="0"/>
        <w:spacing w:lineRule="auto" w:line="288" w:before="0" w:after="160"/>
        <w:jc w:val="left"/>
        <w:rPr/>
      </w:pPr>
      <w:r>
        <w:rPr>
          <w:rFonts w:ascii="Expensify Neue;sans-serif" w:hAnsi="Expensify Neue;sans-serif"/>
          <w:b w:val="false"/>
          <w:color w:val="000000"/>
          <w:sz w:val="20"/>
        </w:rPr>
        <w:t xml:space="preserve">In February 2024, we entered into a Second Amended and Restated Loan and Security Agreement (as subsequently amended, the "2024 Amended Loan and Security Agreement") with </w:t>
      </w:r>
      <w:r>
        <w:rPr>
          <w:rFonts w:ascii="Expensify Neue;sans-serif" w:hAnsi="Expensify Neue;sans-serif"/>
          <w:b w:val="false"/>
          <w:color w:val="000000"/>
          <w:sz w:val="20"/>
          <w:shd w:fill="FFFFFF" w:val="clear"/>
        </w:rPr>
        <w:t>Canadian Imperial Bank of Commerce (“CIBC”)</w:t>
      </w:r>
      <w:r>
        <w:rPr>
          <w:rFonts w:ascii="Expensify Neue;sans-serif" w:hAnsi="Expensify Neue;sans-serif"/>
          <w:b w:val="false"/>
          <w:color w:val="000000"/>
          <w:sz w:val="20"/>
        </w:rPr>
        <w:t>. The 2024 Amended Loan and Security Agreement provided for a</w:t>
      </w:r>
      <w:r>
        <w:rPr>
          <w:color w:val="000000"/>
          <w:shd w:fill="FFFFFF" w:val="clear"/>
        </w:rPr>
        <w:t xml:space="preserve"> </w:t>
      </w:r>
      <w:r>
        <w:rPr>
          <w:rFonts w:ascii="Expensify Neue;sans-serif" w:hAnsi="Expensify Neue;sans-serif"/>
          <w:b w:val="false"/>
          <w:color w:val="000000"/>
          <w:sz w:val="20"/>
        </w:rPr>
        <w:t>$25.0 million</w:t>
      </w:r>
      <w:r>
        <w:rPr>
          <w:color w:val="000000"/>
          <w:shd w:fill="FFFFFF" w:val="clear"/>
        </w:rPr>
        <w:t xml:space="preserve"> </w:t>
      </w:r>
      <w:r>
        <w:rPr>
          <w:rFonts w:ascii="Expensify Neue;sans-serif" w:hAnsi="Expensify Neue;sans-serif"/>
          <w:b w:val="false"/>
          <w:color w:val="000000"/>
          <w:sz w:val="20"/>
          <w:shd w:fill="FFFFFF" w:val="clear"/>
        </w:rPr>
        <w:t xml:space="preserve">revolving credit facility, which was terminated in </w:t>
      </w:r>
      <w:r>
        <w:rPr>
          <w:rFonts w:ascii="Expensify Neue;sans-serif" w:hAnsi="Expensify Neue;sans-serif"/>
          <w:b w:val="false"/>
          <w:color w:val="000000"/>
          <w:sz w:val="20"/>
        </w:rPr>
        <w:t>July 2025. At the time of such termination, we had no borrowings under the revolving credit facility, and certain terms of the 2024 Amended Loan and Security Agreement, including collateral security, survived the termination with respect to outstanding Contingent Obligations (as defined in the 2024 Amended Loan and Security Agreement) arising from Bank Services (as defined in the 2024 Amended Loan and Security Agreement). There were no penalties incurred by us as a result of the termination of the revolving credit facility.</w:t>
      </w:r>
    </w:p>
    <w:p>
      <w:pPr>
        <w:pStyle w:val="TextBody"/>
        <w:bidi w:val="0"/>
        <w:spacing w:lineRule="auto" w:line="288" w:before="0" w:after="160"/>
        <w:jc w:val="left"/>
        <w:rPr/>
      </w:pPr>
      <w:r>
        <w:rPr>
          <w:rFonts w:ascii="Expensify Neue;sans-serif" w:hAnsi="Expensify Neue;sans-serif"/>
          <w:b w:val="false"/>
          <w:color w:val="000000"/>
          <w:sz w:val="20"/>
        </w:rPr>
        <w:t>In April 2024, we entered into an irrevocable standby letter of credit (the "Letter of Credit") issued under the 2024 Amended Loan and Security Agreement to reduce cash collateral requirements in connection with the Expensify Card program. The Letter of Credit was issued in the amount of</w:t>
      </w:r>
      <w:r>
        <w:rPr>
          <w:color w:val="000000"/>
          <w:shd w:fill="FFFFFF" w:val="clear"/>
        </w:rPr>
        <w:t xml:space="preserve"> </w:t>
      </w:r>
      <w:r>
        <w:rPr>
          <w:rFonts w:ascii="Expensify Neue;sans-serif" w:hAnsi="Expensify Neue;sans-serif"/>
          <w:b w:val="false"/>
          <w:color w:val="000000"/>
          <w:sz w:val="20"/>
        </w:rPr>
        <w:t>$1.0 million</w:t>
      </w:r>
      <w:r>
        <w:rPr>
          <w:color w:val="000000"/>
          <w:shd w:fill="FFFFFF" w:val="clear"/>
        </w:rPr>
        <w:t xml:space="preserve"> </w:t>
      </w:r>
      <w:r>
        <w:rPr>
          <w:rFonts w:ascii="Expensify Neue;sans-serif" w:hAnsi="Expensify Neue;sans-serif"/>
          <w:b w:val="false"/>
          <w:color w:val="000000"/>
          <w:sz w:val="20"/>
          <w:shd w:fill="FFFFFF" w:val="clear"/>
        </w:rPr>
        <w:t>for the benefit of Bancorp. In April</w:t>
      </w:r>
      <w:r>
        <w:rPr>
          <w:color w:val="000000"/>
        </w:rPr>
        <w:t xml:space="preserve"> </w:t>
      </w:r>
      <w:r>
        <w:rPr>
          <w:rFonts w:ascii="Expensify Neue;sans-serif" w:hAnsi="Expensify Neue;sans-serif"/>
          <w:b w:val="false"/>
          <w:color w:val="000000"/>
          <w:sz w:val="20"/>
        </w:rPr>
        <w:t>2025, we entered into an amendment to the irrevocable standby letter of credit to increase the Letter of Credit to $7.5 million. The Letter of Credit remained outstanding following the termination of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Letter of Credit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October 2025, we entered into a Letter of Credit Facility and Security Agreement (the “LOC Security Agreement”) with CIBC. The LOC Security Agreement, among other things, provides for the issuance of additional irrevocable standby letters of credit, governs the terms of the outstanding Letter of Credit originally issued under the 2024 Amended Loan and Security Agreement, grants to CIBC, for the ratable benefit of the lenders, a security interest in substantially all of our assets and our subsidiaries, and also replaces the 2024 Amended Loan and Security Agreement with respect to the Contingent Obligations (as defined in the LOC Security Agreement). Under the LOC Security Agreement, the Letter of Credit remained at $7.5 million and expires in March 2027. The Letter of Credit automatically renews for successive one-year periods unless we or the issuing bank provide notice of non-renewal prior to the expiration date. No amounts had been drawn on the Letter of Credit as of June 30, 2026.</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Certain Covenants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subject to customary covenants under the LOC Security Agreement which, unless waived by CIBC, restrict our and our subsidiaries’ ability to, among other things, incur certain additional indebtedness, create or incur certain liens, permit a change of control, sell or transfer assets, pay dividends or make distributions, subject to certain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Key Business Metrics and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KEY BUSINESS METRICS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Paid Members</w:t>
      </w:r>
    </w:p>
    <w:p>
      <w:pPr>
        <w:pStyle w:val="TextBody"/>
        <w:bidi w:val="0"/>
        <w:spacing w:lineRule="auto" w:line="288" w:before="0" w:after="160"/>
        <w:jc w:val="left"/>
        <w:rPr/>
      </w:pPr>
      <w:r>
        <w:rPr>
          <w:rFonts w:ascii="Expensify Neue;sans-serif" w:hAnsi="Expensify Neue;sans-serif"/>
          <w:b w:val="false"/>
          <w:color w:val="000000"/>
          <w:sz w:val="20"/>
        </w:rPr>
        <w:t xml:space="preserve">We believe that our ability to increase the number of paid members on our platform drives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or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plans during any particular quarter. For small and medium businesses or sole proprietors with only one employee, the business owner may also be the only paid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average number of paid members for each of the periods presented (in thousands):</w:t>
      </w:r>
    </w:p>
    <w:tbl>
      <w:tblPr>
        <w:tblW w:w="4451" w:type="dxa"/>
        <w:jc w:val="left"/>
        <w:tblInd w:w="0" w:type="dxa"/>
        <w:tblLayout w:type="fixed"/>
        <w:tblCellMar>
          <w:top w:w="28" w:type="dxa"/>
          <w:left w:w="28" w:type="dxa"/>
          <w:bottom w:w="28" w:type="dxa"/>
          <w:right w:w="28" w:type="dxa"/>
        </w:tblCellMar>
      </w:tblPr>
      <w:tblGrid>
        <w:gridCol w:w="863"/>
        <w:gridCol w:w="758"/>
        <w:gridCol w:w="763"/>
        <w:gridCol w:w="109"/>
        <w:gridCol w:w="109"/>
        <w:gridCol w:w="109"/>
        <w:gridCol w:w="509"/>
        <w:gridCol w:w="509"/>
        <w:gridCol w:w="722"/>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color w:val="000000"/>
                <w:sz w:val="20"/>
              </w:rPr>
            </w:pPr>
            <w:r>
              <w:rPr>
                <w:rFonts w:ascii="Expensify Neue;sans-serif" w:hAnsi="Expensify Neue;sans-serif"/>
                <w:b/>
                <w:color w:val="000000"/>
                <w:sz w:val="20"/>
              </w:rPr>
              <w:t>Paid members</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640</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NON-GAAP FINANCIAL MEASURES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Limitations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Reconciliations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tables reconcile the most directly comparable GAAP financial measure to each of these non-GAAP financial measures.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Adjusted EBITDA and Adjusted EBITDA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adjusted EBITDA as net loss excluding provision for (benefit from) income taxes, other income, net, depreciation and amortization and stock-based compensation expense. We define adjusted EBITDA margin as adjusted EBITDA divided by revenue, net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tbl>
      <w:tblPr>
        <w:tblW w:w="10205" w:type="dxa"/>
        <w:jc w:val="left"/>
        <w:tblInd w:w="0" w:type="dxa"/>
        <w:tblLayout w:type="fixed"/>
        <w:tblCellMar>
          <w:top w:w="28" w:type="dxa"/>
          <w:left w:w="28" w:type="dxa"/>
          <w:bottom w:w="28" w:type="dxa"/>
          <w:right w:w="28" w:type="dxa"/>
        </w:tblCellMar>
      </w:tblPr>
      <w:tblGrid>
        <w:gridCol w:w="1441"/>
        <w:gridCol w:w="1190"/>
        <w:gridCol w:w="1191"/>
        <w:gridCol w:w="226"/>
        <w:gridCol w:w="787"/>
        <w:gridCol w:w="286"/>
        <w:gridCol w:w="109"/>
        <w:gridCol w:w="109"/>
        <w:gridCol w:w="109"/>
        <w:gridCol w:w="226"/>
        <w:gridCol w:w="787"/>
        <w:gridCol w:w="286"/>
        <w:gridCol w:w="109"/>
        <w:gridCol w:w="109"/>
        <w:gridCol w:w="109"/>
        <w:gridCol w:w="226"/>
        <w:gridCol w:w="826"/>
        <w:gridCol w:w="286"/>
        <w:gridCol w:w="109"/>
        <w:gridCol w:w="109"/>
        <w:gridCol w:w="109"/>
        <w:gridCol w:w="226"/>
        <w:gridCol w:w="907"/>
        <w:gridCol w:w="333"/>
      </w:tblGrid>
      <w:tr>
        <w:trPr/>
        <w:tc>
          <w:tcPr>
            <w:tcW w:w="144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(3,851)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(8,788)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(6,188)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(11,957)</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Net loss margin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(benefit from) income taxes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(1,213)</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Depreciation and amortization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3,961 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14,917 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6,591 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(1,393)</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12,812 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7,053 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Adjusted EBITDA margin</w:t>
            </w:r>
          </w:p>
        </w:tc>
        <w:tc>
          <w:tcPr>
            <w:tcW w:w="10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(4)</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10 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r>
      <w:tr>
        <w:trPr/>
        <w:tc>
          <w:tcPr>
            <w:tcW w:w="3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Non-GAAP Net Income (Loss) and Non-GAAP Net Income (Loss)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non-GAAP net income (loss) as net loss excluding stock-based compensation expense. We define non-GAAP net income (loss) margin as non-GAAP net income (loss) divided by revenue, net for the same period. We are focused on profitable growth and we consider non-GAAP net income (loss) to be an important measure because it helps illustrate underlying trends in our business that could otherwise be masked by the effect of stock-based compensation expense, which is not considered indicative of the core operating performance of our business.</w:t>
      </w:r>
    </w:p>
    <w:tbl>
      <w:tblPr>
        <w:tblW w:w="10023" w:type="dxa"/>
        <w:jc w:val="left"/>
        <w:tblInd w:w="0" w:type="dxa"/>
        <w:tblLayout w:type="fixed"/>
        <w:tblCellMar>
          <w:top w:w="28" w:type="dxa"/>
          <w:left w:w="28" w:type="dxa"/>
          <w:bottom w:w="28" w:type="dxa"/>
          <w:right w:w="28" w:type="dxa"/>
        </w:tblCellMar>
      </w:tblPr>
      <w:tblGrid>
        <w:gridCol w:w="1320"/>
        <w:gridCol w:w="1156"/>
        <w:gridCol w:w="1169"/>
        <w:gridCol w:w="226"/>
        <w:gridCol w:w="796"/>
        <w:gridCol w:w="286"/>
        <w:gridCol w:w="109"/>
        <w:gridCol w:w="109"/>
        <w:gridCol w:w="109"/>
        <w:gridCol w:w="226"/>
        <w:gridCol w:w="796"/>
        <w:gridCol w:w="286"/>
        <w:gridCol w:w="109"/>
        <w:gridCol w:w="109"/>
        <w:gridCol w:w="109"/>
        <w:gridCol w:w="226"/>
        <w:gridCol w:w="796"/>
        <w:gridCol w:w="286"/>
        <w:gridCol w:w="109"/>
        <w:gridCol w:w="109"/>
        <w:gridCol w:w="109"/>
        <w:gridCol w:w="226"/>
        <w:gridCol w:w="916"/>
        <w:gridCol w:w="331"/>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(3,851)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(8,788)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(6,188)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(11,957)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Net loss margin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(1,861)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2,960 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Non-GAAP net income (loss) margin</w:t>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(5)</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4 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Free Cash Flow and Free Cash Flow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free cash flow as net cash provided by operating activities excluding changes in settlement assets, net and settlement liabilities, reduced by the purchases of property and equipment and software development costs. We define free cash flow margin as free cash flow divided by revenue, net for the same period.</w:t>
      </w:r>
    </w:p>
    <w:tbl>
      <w:tblPr>
        <w:tblW w:w="10205" w:type="dxa"/>
        <w:jc w:val="left"/>
        <w:tblInd w:w="0" w:type="dxa"/>
        <w:tblLayout w:type="fixed"/>
        <w:tblCellMar>
          <w:top w:w="28" w:type="dxa"/>
          <w:left w:w="28" w:type="dxa"/>
          <w:bottom w:w="28" w:type="dxa"/>
          <w:right w:w="28" w:type="dxa"/>
        </w:tblCellMar>
      </w:tblPr>
      <w:tblGrid>
        <w:gridCol w:w="1452"/>
        <w:gridCol w:w="1213"/>
        <w:gridCol w:w="1221"/>
        <w:gridCol w:w="232"/>
        <w:gridCol w:w="727"/>
        <w:gridCol w:w="294"/>
        <w:gridCol w:w="112"/>
        <w:gridCol w:w="112"/>
        <w:gridCol w:w="112"/>
        <w:gridCol w:w="232"/>
        <w:gridCol w:w="727"/>
        <w:gridCol w:w="294"/>
        <w:gridCol w:w="109"/>
        <w:gridCol w:w="109"/>
        <w:gridCol w:w="109"/>
        <w:gridCol w:w="226"/>
        <w:gridCol w:w="706"/>
        <w:gridCol w:w="286"/>
        <w:gridCol w:w="109"/>
        <w:gridCol w:w="109"/>
        <w:gridCol w:w="109"/>
        <w:gridCol w:w="226"/>
        <w:gridCol w:w="826"/>
        <w:gridCol w:w="286"/>
        <w:gridCol w:w="109"/>
        <w:gridCol w:w="158"/>
      </w:tblGrid>
      <w:tr>
        <w:trPr/>
        <w:tc>
          <w:tcPr>
            <w:tcW w:w="145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8,433 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8,184 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16,040 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Operating cash flow margin</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25 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23 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Changes in settlement assets and liabilities: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assets, net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liabilities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(1,138)</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(4,947)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w:t>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Purchase of property and equipment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Software development costs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(1,157)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6,446 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6,311 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Free cash flow margin</w:t>
            </w:r>
          </w:p>
        </w:tc>
        <w:tc>
          <w:tcPr>
            <w:tcW w:w="9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19 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18 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13 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21 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i/>
                <w:color w:val="000000"/>
                <w:sz w:val="20"/>
              </w:rPr>
            </w:pPr>
            <w:r>
              <w:rPr>
                <w:rFonts w:ascii="Expensify Neue;sans-serif" w:hAnsi="Expensify Neue;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Contractual Obligations and Commitments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June 30, 2026, there have been no material changes in our contractual obligations and commitments as disclosed in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 xml:space="preserve">Indemnification Agreements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Off-Balance Sheet Arrangements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Critical Accounting Policies and Estimates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There have been no material changes to our critical accounting policies and estimates as compared to those described in Part II, Item 7. “Management’s Discussion and Analysis of Financial Condition and Results of Operations” included in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Expensify Neue;sans-serif" w:hAnsi="Expensify Neue;sans-serif"/>
          <w:b/>
          <w:color w:val="002E22"/>
          <w:sz w:val="32"/>
        </w:rPr>
        <w:t>Recent Accounting Pronouncements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1 to our condensed consolidated financial statements included elsewhere in this Quarterly Report on Form 10-Q for recently issued accounting pronouncements not yet adopted as of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3. Quantitative and Qualitative Disclosures About Market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in our market risk from the disclosure included under Part II, Item 7A. “Quantitative and Qualitative Disclosures About Market Risk”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4. Controls and Procedures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EVALUATION OF DISCLOSURE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 ("SEC") rules and forms. Based on such evaluation, our chief executive officer and chief financial officer have concluded that as of June 30, 2026, our disclosure controls and procedures were effective at a reasonable assurance level.</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CHANGES IN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no changes in our internal control over financial reporting identified in connection with the evaluation required by Rules 13a-15(d) and 15d-15(d) of the Exchange Act that occurred during the period covered by this Quarterly Report on Form 10-Q that have materially affected, or are reasonably likely to materially affect, our internal control over financial reporting.</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LIMITATIONS OF EFFECTIVENESS OF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November 29, 2023, a putative securities class action (the “Putative Class Action”) was filed in the United States District Court for the District of Oregon captioned Wilhite v. Expensify, Inc., et al., Case No. 3:23-cv-01784-JR, naming us, our executive officers and several of our current and former directors as defendants (collectively, the “Defendants”). The lawsuit is purportedly brought on behalf of all those who purchased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(the “Amended Complaint”), naming six of our current board members as additional defendants (together with the Defendants, the “Amended Defendants”). Amended Defendants’ motion to dismiss the amended complaint was filed on July 9, 2024. The lead plaintiff’s opposition was filed on September 6, 2024, and the Amended Defendants’ reply was filed on October 18, 2024. On December 30, 2024, the magistrate judge issued findings and recommendation that the Amended Defendants’ motion to dismiss be granted in part and denied in part. The lead plaintiff and Amended Defendants each filed objections to the magistrate judge’s findings and recommendation on January 21, 2025, and responses to the objections on February 4, 2025. On March 24, 2025, the Court adopted, with limited modification, the magistrate’s findings and recommendations to grant in part and deny in part Defendants’ motion to dismiss the Amended Complaint.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December 17, 2025, after conducting mediation within the current discovery phase of the lawsuit, the parties reached an agreement-in-principle to settle all claims in the Putative Class Action for an aggregate sum of $9.5 million. On February 12, 2026, lead plaintiff filed a stipulation of settlement and an unopposed motion for preliminary approval of settlement. On February 23, 2026, the Court granted preliminary approval of the settlement. On April 28, 2026, lead plaintiff filed a motion for final approval of the settlement, as well as motion for attorneys' fees. A hearing for the final approval of the settlement was held on June 30, 2026 at which time final approval was granted by the Court. During the six months ended June 30, 2026, the Company deposited $9.5 million into escrow for the proposed settlement, which consisted of $2.6 million paid by the Company and $6.9 million recovered under the Company's applicable insurance policies.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9, 2024, a shareholder derivative lawsuit was filed in the United States District Court for the District of Oregon captioned O’Halloran v. Barrett, et al., Case No. 3:24-cv-00775 (the “O’Halloran Action”), purportedly on our behalf, naming us as nominal defendant, and our executive officers and several of our current and former directors as defendants (collectively, the “Derivative Defendants”). On August 14, 2024, the Court stayed the O’Halloran Action pending resolution of any and all motion(s) to dismiss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December 18, 2024, a shareholder derivative lawsuit was filed in the United States District Court for the District of Oregon captioned Da Silva v. Barrett, et al., Case No. 3:24-cv-02095 (the “Da Silva Action” and with the O’Halloran Action, the “Derivative Action”), purportedly on our behalf against the Derivative Defendants and asserting substantively the same claims as those asserted in the O’Halloran Action. On January 2, 2025, the parties to the Derivative Action filed a stipulation to consolidate the O’Halloran and Da Silva Actions and apply the stay entered in the O’Halloran Action to the Derivative Action. On February 10, 2025, the Court consolidated the O’Halloran and Da Silva Actions and applied the existing stay to the consolidated action under the caption In re Expensify, Inc. Derivative Litigation, Case No. 3:24-cv-00775-SI. On July 15, 2026, the Court granted the parties stipulation to continue the stay of the O’Halloran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Action. The Derivative Defendants deny the allegations of wrongdoing and will continue to vigorously defend against the claims in the Derivative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23, 2025, a shareholder derivative lawsuit was filed in the United States District Court for the District of Oregon captioned Choi v. Barrett, et al., Case No. 3:25-cv-1300 (the “Choi Action”), purportedly on our behalf against the Derivative Defendants and asserting substantively the same claims as those asserted in the O’Halloran Action. On October 20, 2025, the Court granted the parties’ stipulation to stay the Choi Action pending final resolution of the Putative Class Action. The Derivative Defendants deny the allegations of wrongdoing and will continue to vigorously defend against the claims in the Choi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March 20, 2026, a shareholder derivative lawsuit was filed in the United States District Court for the District of Oregon captioned Mangiagli v. Barrett, et al., Case No. 3:26-cv-00544 (the “Mangiagli Action”), purportedly on our behalf against the Derivative Defendants and asserting substantively the same claims as those asserted in the O’Halloran Action and the Choi Action. The Derivative Defendants deny the allegations of wrongdoing and will continue to vigorously defend against the claims in the Mangiagli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1A. Risk Factors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the other information set forth in this Quarterly Report on Form 10-Q, including the section titled "Management's Discussion and Analysis of Financial Condition and Results of Operations" and our condensed consolidated financial statements and related notes, you should carefully read and consider the risks and uncertainties discussed below, together with the risk factors discussed in Part I, Item 1A. "Risk Factors," of our 2025 Annual Report (as updated and supplemented below and in our subsequent filings) and in other documents that we file with the SEC.</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our stock price falls below $1.00 for an extended period of time, our Class A common stock may be subject to delisting from Nasdaq.</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April 17, 2026, we received a deficiency letter from the Nasdaq Listing Qualifications Department (“the Staff”) of Nasdaq notifying us that, for the last 30 consecutive business days, the closing bid price for our Class A common stock had been below the minimum $1.00 per share required for continued listing on The Nasdaq Global Select Market pursuant to Nasdaq Listing Rule 5450(a)(1) (the “Minimum Bid Price Requirement”). In accordance with Nasdaq Listing Rule 5810(c)(3)(A), we had 180 calendar days, or until October 14, 2026 (the “Compliance Date”), to regain compliance with the Minimum Bid Price Requirement. To regain compliance, the closing bid price of our Class A common stock was required to be at least $1.00 per share for a minimum of ten consecutive business days before the Compliance Date. On May 28, 2026, we were notified by Nasdaq that we had regained compliance with the Minimum Bid Price Requirement and that Nasdaq considers this matter closed.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Although we have regained compliance with Minimum Bid Price Requirement, it is possible that we could fall out of compliance again in the future. If we fail to meet all applicable Nasdaq requirements in the future and Nasdaq determines to delist our common stock, which would adversely impact liquidity of our Class A common stock and potentially result in an even lower share price for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2. Unregistered Sales of Equity Securities and Use of Proceeds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ISSUER PURCHASES OF EQUITY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information regarding our purchases of shares of Class A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367"/>
        <w:gridCol w:w="244"/>
        <w:gridCol w:w="247"/>
        <w:gridCol w:w="482"/>
        <w:gridCol w:w="482"/>
        <w:gridCol w:w="484"/>
        <w:gridCol w:w="109"/>
        <w:gridCol w:w="109"/>
        <w:gridCol w:w="109"/>
        <w:gridCol w:w="358"/>
        <w:gridCol w:w="930"/>
        <w:gridCol w:w="174"/>
        <w:gridCol w:w="109"/>
        <w:gridCol w:w="109"/>
        <w:gridCol w:w="109"/>
        <w:gridCol w:w="754"/>
        <w:gridCol w:w="754"/>
        <w:gridCol w:w="755"/>
        <w:gridCol w:w="109"/>
        <w:gridCol w:w="109"/>
        <w:gridCol w:w="109"/>
        <w:gridCol w:w="443"/>
        <w:gridCol w:w="2443"/>
        <w:gridCol w:w="307"/>
      </w:tblGrid>
      <w:tr>
        <w:trPr/>
        <w:tc>
          <w:tcPr>
            <w:tcW w:w="3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Total number of shares purchased</w:t>
            </w:r>
          </w:p>
        </w:tc>
        <w:tc>
          <w:tcPr>
            <w:tcW w:w="32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16"/>
              </w:rPr>
              <w:t>Weighted average price paid per share</w:t>
            </w:r>
            <w:r>
              <w:rPr>
                <w:rFonts w:ascii="Expensify Neue;sans-serif" w:hAnsi="Expensify Neue;sans-serif"/>
                <w:b/>
                <w:color w:val="000000"/>
                <w:sz w:val="10"/>
              </w:rPr>
              <w:t>(1)</w:t>
            </w:r>
          </w:p>
        </w:tc>
        <w:tc>
          <w:tcPr>
            <w:tcW w:w="32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Total number of shares purchased as part of publicly announced plans or programs</w:t>
            </w:r>
          </w:p>
        </w:tc>
        <w:tc>
          <w:tcPr>
            <w:tcW w:w="32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16"/>
              </w:rPr>
              <w:t>Maximum number (or approximate dollar value) of shares that may yet be purchased under the plans or programs</w:t>
            </w:r>
            <w:r>
              <w:rPr>
                <w:rFonts w:ascii="Expensify Neue;sans-serif" w:hAnsi="Expensify Neue;sans-serif"/>
                <w:b/>
                <w:color w:val="000000"/>
                <w:sz w:val="10"/>
              </w:rPr>
              <w:t>(2)(3)</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April 1 - 30, 2026</w:t>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41,000,511 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May 1 - 31, 2026</w:t>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66,000,511 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June 1 - 30, 2026</w:t>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6,765,040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6,765,040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39,836,541 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Total</w:t>
            </w:r>
          </w:p>
        </w:tc>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6,765,040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6,765,040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(1)Average price paid per share for purchases of shares of Class A common stock transactions excludes transaction costs and excise taxes.</w:t>
      </w:r>
    </w:p>
    <w:p>
      <w:pPr>
        <w:pStyle w:val="TextBody"/>
        <w:bidi w:val="0"/>
        <w:spacing w:lineRule="auto" w:line="288" w:before="0" w:after="8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(2)On February 27, 2025, we announced the approval of a share repurchase program with authorization to purchase up to $50.0 million of our Class A common stock at management’s discretion that expires on March 31, 2028, does not obligate us to repurchase any specific number of shares and may be modified, suspended or terminated at any time at our discretion. As of June 30, 2026, we had $39.8 million remaining under the share repurchase authorization.</w:t>
      </w:r>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(3)On May 13, 2026, we announced the commencement of a modified “Dutch auction” tender offer to purchase shares of our Class A common stock for an aggregate purchase price of up to $25.0 million at a price per share of not less than $0.98 and not more than $1.20 (the “Tender Offer”). The Tender Offer was not conditioned upon any minimum number of shares being tendered and was not subject to a financing condition. The Tender Offer expired on June 10, 2026. We accepted 6,053,023 shares for purchase at the purchase price of $1.20 per share. Following the expiration of the Tender Offer and the acceptance of shares for payment, no amounts remain under the Tender Offer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3. Defaults Upon Senior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4. Mine Safety Disclosures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5. Other Information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Certificate of Retirement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August 6, 2026 the Company filed a Certificate of Retirement with the Secretary of State of the State of Delaware to retire 151,199 shares of LT50 common stock, par value $0.0001 per share, of the Company (“LT50 Common Stock”). All 151,199 shares of LT50 Common Stock were converted into 151,199 shares of Class A common stock, par value $0.0001 per share, of the Company (the “Class A Common Stock”). The Company’s Amended and Restated Certificate of Incorporation requires that any shares of LT50 Common Stock that are converted into shares of Class A Common Stock be retired and may not be reissued.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Effective upon filing, the Certificate of Retirement amended the Amended and Restated Certificate of Incorporation of the Company to reduce the total authorized number of shares of capital stock of the Company by 151,199 shares. The total number of authorized shares of the Company is now 1,056,613,065, such shares consisting of 1,000,000,000 shares designated Class A Common Stock, 21,871,197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50"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designated LT10 Common Stock, 24,741,868 shares designated LT50 Common Stock, each with a par value of $0.0001 per share, of the Company, and 10,000,000 shares designated preferred stock, par value $0.0001 per share,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Expensify Neue;sans-serif" w:hAnsi="Expensify Neue;sans-serif"/>
          <w:b/>
          <w:color w:val="002E22"/>
          <w:sz w:val="32"/>
        </w:rPr>
      </w:pPr>
      <w:r>
        <w:rPr>
          <w:rFonts w:ascii="Expensify Neue;sans-serif" w:hAnsi="Expensify Neue;sans-serif"/>
          <w:b/>
          <w:color w:val="002E22"/>
          <w:sz w:val="32"/>
        </w:rPr>
        <w:t>Item 6. Exhibits</w:t>
      </w:r>
    </w:p>
    <w:tbl>
      <w:tblPr>
        <w:tblW w:w="10205" w:type="dxa"/>
        <w:jc w:val="left"/>
        <w:tblInd w:w="0" w:type="dxa"/>
        <w:tblLayout w:type="fixed"/>
        <w:tblCellMar>
          <w:top w:w="28" w:type="dxa"/>
          <w:left w:w="28" w:type="dxa"/>
          <w:bottom w:w="28" w:type="dxa"/>
          <w:right w:w="28" w:type="dxa"/>
        </w:tblCellMar>
      </w:tblPr>
      <w:tblGrid>
        <w:gridCol w:w="332"/>
        <w:gridCol w:w="293"/>
        <w:gridCol w:w="294"/>
        <w:gridCol w:w="109"/>
        <w:gridCol w:w="109"/>
        <w:gridCol w:w="109"/>
        <w:gridCol w:w="1798"/>
        <w:gridCol w:w="1653"/>
        <w:gridCol w:w="1668"/>
        <w:gridCol w:w="109"/>
        <w:gridCol w:w="109"/>
        <w:gridCol w:w="109"/>
        <w:gridCol w:w="229"/>
        <w:gridCol w:w="229"/>
        <w:gridCol w:w="183"/>
        <w:gridCol w:w="306"/>
        <w:gridCol w:w="306"/>
        <w:gridCol w:w="174"/>
        <w:gridCol w:w="275"/>
        <w:gridCol w:w="275"/>
        <w:gridCol w:w="276"/>
        <w:gridCol w:w="403"/>
        <w:gridCol w:w="403"/>
        <w:gridCol w:w="454"/>
      </w:tblGrid>
      <w:tr>
        <w:trPr/>
        <w:tc>
          <w:tcPr>
            <w:tcW w:w="3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Incorporated by Reference</w:t>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Form</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File No.</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Exhibit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Filing Date</w:t>
            </w:r>
          </w:p>
        </w:tc>
      </w:tr>
      <w:tr>
        <w:trPr/>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31-10xqq22026.htm">
              <w:r>
                <w:rPr>
                  <w:rStyle w:val="InternetLink"/>
                  <w:rFonts w:ascii="Expensify Neue;sans-serif" w:hAnsi="Expensify Neue;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Expensify Neue;sans-serif" w:hAnsi="Expensify Neue;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15, 2021</w:t>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xqq22026.htm">
              <w:r>
                <w:rPr>
                  <w:rStyle w:val="InternetLink"/>
                  <w:rFonts w:ascii="Expensify Neue;sans-serif" w:hAnsi="Expensify Neue;sans-serif"/>
                  <w:b w:val="false"/>
                  <w:color w:val="0000FF"/>
                  <w:sz w:val="18"/>
                  <w:u w:val="single"/>
                </w:rPr>
                <w:t>Certification of the Principal Executive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xqq22026.htm">
              <w:r>
                <w:rPr>
                  <w:rStyle w:val="InternetLink"/>
                  <w:rFonts w:ascii="Expensify Neue;sans-serif" w:hAnsi="Expensify Neue;sans-serif"/>
                  <w:b w:val="false"/>
                  <w:color w:val="0000FF"/>
                  <w:sz w:val="18"/>
                  <w:u w:val="single"/>
                </w:rPr>
                <w:t>Certification of the Principal Financial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xqq22026.htm">
              <w:r>
                <w:rPr>
                  <w:rStyle w:val="InternetLink"/>
                  <w:rFonts w:ascii="Expensify Neue;sans-serif" w:hAnsi="Expensify Neue;sans-serif"/>
                  <w:b w:val="false"/>
                  <w:color w:val="0000FF"/>
                  <w:sz w:val="18"/>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xqq22026.htm">
              <w:r>
                <w:rPr>
                  <w:rStyle w:val="InternetLink"/>
                  <w:rFonts w:ascii="Expensify Neue;sans-serif" w:hAnsi="Expensify Neue;sans-serif"/>
                  <w:b w:val="false"/>
                  <w:color w:val="0000FF"/>
                  <w:sz w:val="18"/>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Presentation Linkable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8"/>
        <w:gridCol w:w="2908"/>
        <w:gridCol w:w="4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4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51"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9da25e56d5847bfbc1802068dc17a29_7">
        <w:r>
          <w:rPr>
            <w:rStyle w:val="InternetLink"/>
            <w:rFonts w:ascii="Expensify Neue;sans-serif" w:hAnsi="Expensify Neue;sans-serif"/>
            <w:b/>
            <w:color w:val="03D47C"/>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Signatures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the Securities Exchange Act of 1934, the registrant has duly caused this report to be signed on its behalf by the undersigned thereunto duly authorized.</w:t>
      </w:r>
    </w:p>
    <w:tbl>
      <w:tblPr>
        <w:tblW w:w="6861" w:type="dxa"/>
        <w:jc w:val="left"/>
        <w:tblInd w:w="0" w:type="dxa"/>
        <w:tblLayout w:type="fixed"/>
        <w:tblCellMar>
          <w:top w:w="28" w:type="dxa"/>
          <w:left w:w="28" w:type="dxa"/>
          <w:bottom w:w="28" w:type="dxa"/>
          <w:right w:w="28" w:type="dxa"/>
        </w:tblCellMar>
      </w:tblPr>
      <w:tblGrid>
        <w:gridCol w:w="400"/>
        <w:gridCol w:w="352"/>
        <w:gridCol w:w="352"/>
        <w:gridCol w:w="352"/>
        <w:gridCol w:w="352"/>
        <w:gridCol w:w="352"/>
        <w:gridCol w:w="307"/>
        <w:gridCol w:w="307"/>
        <w:gridCol w:w="307"/>
        <w:gridCol w:w="1100"/>
        <w:gridCol w:w="1100"/>
        <w:gridCol w:w="1580"/>
      </w:tblGrid>
      <w:tr>
        <w:trPr/>
        <w:tc>
          <w:tcPr>
            <w:tcW w:w="40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EXPENSIFY, INC.</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August 6, 2026</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r>
      <w:tr>
        <w:trPr/>
        <w:tc>
          <w:tcPr>
            <w:tcW w:w="21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President and Chief Executive Officer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Executive Officer)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August 6, 2026</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 Ryan Schaffer</w:t>
            </w:r>
          </w:p>
        </w:tc>
      </w:tr>
      <w:tr>
        <w:trPr/>
        <w:tc>
          <w:tcPr>
            <w:tcW w:w="21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2"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49</w:t>
                      </w:r>
                    </w:p>
                  </w:txbxContent>
                </v:textbox>
                <w10:wrap type="none"/>
              </v:rect>
            </w:pict>
          </mc:Fallback>
        </mc:AlternateContent>
      </w:r>
    </w:p>
    <w:p>
      <w:pPr>
        <w:pStyle w:val="TextBody"/>
        <w:bidi w:val="0"/>
        <w:spacing w:lineRule="auto" w:line="319" w:before="0" w:after="24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319" w:before="0" w:after="240"/>
        <w:jc w:val="center"/>
        <w:rPr>
          <w:rFonts w:ascii="Times New Roman;serif" w:hAnsi="Times New Roman;serif"/>
          <w:b/>
          <w:color w:val="000000"/>
          <w:sz w:val="20"/>
        </w:rPr>
      </w:pPr>
      <w:r>
        <w:rPr>
          <w:rFonts w:ascii="Times New Roman;serif" w:hAnsi="Times New Roman;serif"/>
          <w:b/>
          <w:color w:val="000000"/>
          <w:sz w:val="20"/>
        </w:rPr>
        <w:t>CERTIFICATE OF INCORPORATION OF</w:t>
      </w:r>
    </w:p>
    <w:p>
      <w:pPr>
        <w:pStyle w:val="TextBody"/>
        <w:bidi w:val="0"/>
        <w:spacing w:lineRule="auto" w:line="319" w:before="0" w:after="24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lineRule="auto" w:line="276" w:before="0" w:after="240"/>
        <w:jc w:val="center"/>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hereby certifies as follows:</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1. The name of the corporation is Expensify, Inc. The date of the filing of its original certificate of incorporation with the Secretary of State of the State of Delaware was April 29, 2009.</w:t>
      </w:r>
    </w:p>
    <w:p>
      <w:pPr>
        <w:pStyle w:val="TextBody"/>
        <w:bidi w:val="0"/>
        <w:spacing w:lineRule="auto" w:line="276" w:before="0" w:after="240"/>
        <w:jc w:val="center"/>
        <w:rPr/>
      </w:pPr>
      <w:r>
        <w:rPr>
          <w:rFonts w:ascii="Times New Roman;serif" w:hAnsi="Times New Roman;serif"/>
          <w:b w:val="false"/>
          <w:color w:val="000000"/>
          <w:sz w:val="20"/>
        </w:rPr>
        <w:t>2. This Amended and Restated Certificate of Incorporation (this “</w:t>
      </w:r>
      <w:r>
        <w:rPr>
          <w:rFonts w:ascii="Times New Roman;serif" w:hAnsi="Times New Roman;serif"/>
          <w:b w:val="false"/>
          <w:color w:val="000000"/>
          <w:sz w:val="20"/>
          <w:u w:val="single"/>
        </w:rPr>
        <w:t>Certificate of Incorporation</w:t>
      </w:r>
      <w:r>
        <w:rPr>
          <w:color w:val="000000"/>
        </w:rPr>
        <w:t>”</w:t>
      </w:r>
      <w:r>
        <w:rPr>
          <w:rFonts w:ascii="Times New Roman;serif" w:hAnsi="Times New Roman;serif"/>
          <w:b w:val="false"/>
          <w:color w:val="000000"/>
          <w:sz w:val="20"/>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3. The certificate of incorporation of this corporation is hereby amended and restated in its entirety to read as follows: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NAME</w:t>
      </w:r>
    </w:p>
    <w:p>
      <w:pPr>
        <w:pStyle w:val="TextBody"/>
        <w:bidi w:val="0"/>
        <w:spacing w:lineRule="auto" w:line="276" w:before="0" w:after="240"/>
        <w:ind w:left="0" w:right="0" w:firstLine="720"/>
        <w:jc w:val="both"/>
        <w:rPr/>
      </w:pPr>
      <w:r>
        <w:rPr>
          <w:rFonts w:ascii="Times New Roman;serif" w:hAnsi="Times New Roman;serif"/>
          <w:b w:val="false"/>
          <w:color w:val="000000"/>
          <w:sz w:val="20"/>
        </w:rPr>
        <w:t>The name of the corporation is “Expensify, Inc.” (hereinafter called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REGISTERED OFFICE AND AGENT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address of the Corporation’s registered office in the State of Delaware is 3500 South DuPont Highway, Dover, Delaware, County of Kent, 19901. The name of its registered agent at such address is Incorporating Services, Ltd.</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PURPOSE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purpose of the Corporation is to engage in any lawful act or activity for which corporations may be organized under the DGCL.</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ARTICLE IV</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CAPITAL STOCK</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1.    </w:t>
      </w:r>
      <w:r>
        <w:rPr>
          <w:rFonts w:ascii="Times New Roman;serif" w:hAnsi="Times New Roman;serif"/>
          <w:b w:val="false"/>
          <w:color w:val="000000"/>
          <w:sz w:val="20"/>
          <w:u w:val="single"/>
        </w:rPr>
        <w:t>Authorized Shares</w:t>
      </w:r>
      <w:r>
        <w:rPr>
          <w:rFonts w:ascii="Times New Roman;serif" w:hAnsi="Times New Roman;serif"/>
          <w:b w:val="false"/>
          <w:color w:val="000000"/>
          <w:sz w:val="20"/>
        </w:rPr>
        <w:t>.</w:t>
      </w:r>
    </w:p>
    <w:p>
      <w:pPr>
        <w:pStyle w:val="TextBody"/>
        <w:bidi w:val="0"/>
        <w:spacing w:lineRule="auto" w:line="276" w:before="0" w:after="240"/>
        <w:ind w:left="0" w:right="0" w:firstLine="720"/>
        <w:jc w:val="both"/>
        <w:rPr/>
      </w:pPr>
      <w:r>
        <w:rPr>
          <w:rFonts w:ascii="Times New Roman;serif" w:hAnsi="Times New Roman;serif"/>
          <w:b w:val="false"/>
          <w:color w:val="000000"/>
          <w:sz w:val="20"/>
        </w:rPr>
        <w:t>The total number of shares of all classes of capital stock which the Corporation shall have authority to issue is 1,060,000,000 shares, consisting of one billion (1,000,000,000) shares of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25 million (25,000,000) shares of LT10 Common Stock, par value $0.0001 per share (“</w:t>
      </w:r>
      <w:r>
        <w:rPr>
          <w:rFonts w:ascii="Times New Roman;serif" w:hAnsi="Times New Roman;serif"/>
          <w:b w:val="false"/>
          <w:color w:val="000000"/>
          <w:sz w:val="20"/>
          <w:u w:val="single"/>
        </w:rPr>
        <w:t>LT10 Common Stock</w:t>
      </w:r>
      <w:r>
        <w:rPr>
          <w:color w:val="000000"/>
        </w:rPr>
        <w:t>”</w:t>
      </w:r>
      <w:r>
        <w:rPr>
          <w:rFonts w:ascii="Times New Roman;serif" w:hAnsi="Times New Roman;serif"/>
          <w:b w:val="false"/>
          <w:color w:val="000000"/>
          <w:sz w:val="20"/>
        </w:rPr>
        <w:t>), 25 million (25,000,000)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and together with the LT10 Common Stock, the “</w:t>
      </w:r>
      <w:r>
        <w:rPr>
          <w:rFonts w:ascii="Times New Roman;serif" w:hAnsi="Times New Roman;serif"/>
          <w:b w:val="false"/>
          <w:color w:val="000000"/>
          <w:sz w:val="20"/>
          <w:u w:val="single"/>
        </w:rPr>
        <w:t>LT Common Stock</w:t>
      </w:r>
      <w:r>
        <w:rPr>
          <w:rFonts w:ascii="Times New Roman;serif" w:hAnsi="Times New Roman;serif"/>
          <w:b w:val="false"/>
          <w:color w:val="000000"/>
          <w:sz w:val="20"/>
        </w:rPr>
        <w:t xml:space="preserve">,” </w:t>
      </w:r>
    </w:p>
    <w:p>
      <w:pPr>
        <w:pStyle w:val="TextBody"/>
        <w:bidi w:val="0"/>
        <w:spacing w:before="0" w:after="20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0"/>
        </w:rPr>
        <w:t>and together with the Class A Common Stock, the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and ten million (10,000,000) shares of Preferred Stock, par value $0.0001 per share (“</w:t>
      </w:r>
      <w:r>
        <w:rPr>
          <w:rFonts w:ascii="Times New Roman;serif" w:hAnsi="Times New Roman;serif"/>
          <w:b w:val="false"/>
          <w:color w:val="000000"/>
          <w:sz w:val="20"/>
          <w:u w:val="single"/>
        </w:rPr>
        <w:t>Preferred Stock</w:t>
      </w:r>
      <w:r>
        <w:rPr>
          <w:color w:val="000000"/>
        </w:rPr>
        <w:t>”</w:t>
      </w:r>
      <w:r>
        <w:rPr>
          <w:rFonts w:ascii="Times New Roman;serif" w:hAnsi="Times New Roman;serif"/>
          <w:b w:val="false"/>
          <w:color w:val="000000"/>
          <w:sz w:val="20"/>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2.    </w:t>
      </w:r>
      <w:r>
        <w:rPr>
          <w:rFonts w:ascii="Times New Roman;serif" w:hAnsi="Times New Roman;serif"/>
          <w:b w:val="false"/>
          <w:color w:val="000000"/>
          <w:sz w:val="20"/>
          <w:u w:val="single"/>
        </w:rPr>
        <w:t>Preferred Stock</w:t>
      </w:r>
    </w:p>
    <w:p>
      <w:pPr>
        <w:pStyle w:val="TextBody"/>
        <w:bidi w:val="0"/>
        <w:spacing w:lineRule="auto" w:line="276" w:before="0" w:after="240"/>
        <w:ind w:left="0" w:right="0" w:firstLine="720"/>
        <w:jc w:val="both"/>
        <w:rPr/>
      </w:pPr>
      <w:r>
        <w:rPr>
          <w:rFonts w:ascii="Times New Roman;serif" w:hAnsi="Times New Roman;serif"/>
          <w:b w:val="false"/>
          <w:color w:val="000000"/>
          <w:sz w:val="20"/>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3.    </w:t>
      </w:r>
      <w:r>
        <w:rPr>
          <w:rFonts w:ascii="Times New Roman;serif" w:hAnsi="Times New Roman;serif"/>
          <w:b w:val="false"/>
          <w:color w:val="000000"/>
          <w:sz w:val="20"/>
          <w:u w:val="single"/>
        </w:rPr>
        <w:t>Common Stock</w:t>
      </w:r>
    </w:p>
    <w:p>
      <w:pPr>
        <w:pStyle w:val="TextBody"/>
        <w:bidi w:val="0"/>
        <w:spacing w:lineRule="auto" w:line="276" w:before="0" w:after="240"/>
        <w:ind w:left="0" w:right="0" w:firstLine="72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Equal Status</w:t>
      </w:r>
      <w:r>
        <w:rPr>
          <w:rFonts w:ascii="Times New Roman;serif" w:hAnsi="Times New Roman;serif"/>
          <w:b w:val="false"/>
          <w:color w:val="000000"/>
          <w:sz w:val="20"/>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pStyle w:val="TextBody"/>
        <w:bidi w:val="0"/>
        <w:spacing w:lineRule="auto" w:line="276" w:before="0" w:after="24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Voting</w:t>
      </w:r>
      <w:r>
        <w:rPr>
          <w:rFonts w:ascii="Times New Roman;serif" w:hAnsi="Times New Roman;serif"/>
          <w:b w:val="false"/>
          <w:color w:val="000000"/>
          <w:sz w:val="20"/>
        </w:rPr>
        <w:t>.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Times New Roman;serif" w:hAnsi="Times New Roman;serif"/>
          <w:b w:val="false"/>
          <w:color w:val="000000"/>
          <w:sz w:val="20"/>
          <w:u w:val="single"/>
        </w:rPr>
        <w:t>Bylaws</w:t>
      </w:r>
      <w:r>
        <w:rPr>
          <w:color w:val="000000"/>
        </w:rPr>
        <w:t>”</w:t>
      </w:r>
      <w:r>
        <w:rPr>
          <w:rFonts w:ascii="Times New Roman;serif" w:hAnsi="Times New Roman;serif"/>
          <w:b w:val="false"/>
          <w:color w:val="000000"/>
          <w:sz w:val="20"/>
        </w:rPr>
        <w:t xml:space="preserve">), and (iii) be entitled to vote upon such matters and in such manner as may be provided by applicable law;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 </w:t>
      </w:r>
    </w:p>
    <w:p>
      <w:pPr>
        <w:pStyle w:val="TextBody"/>
        <w:bidi w:val="0"/>
        <w:spacing w:before="0" w:after="20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Dividend Rights</w:t>
      </w:r>
      <w:r>
        <w:rPr>
          <w:rFonts w:ascii="Times New Roman;serif" w:hAnsi="Times New Roman;serif"/>
          <w:b w:val="false"/>
          <w:color w:val="000000"/>
          <w:sz w:val="20"/>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 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pStyle w:val="TextBody"/>
        <w:bidi w:val="0"/>
        <w:spacing w:lineRule="auto" w:line="276" w:before="0" w:after="240"/>
        <w:ind w:left="0" w:right="0" w:firstLine="720"/>
        <w:jc w:val="both"/>
        <w:rPr/>
      </w:pPr>
      <w:r>
        <w:rPr>
          <w:rFonts w:ascii="Times New Roman;serif" w:hAnsi="Times New Roman;serif"/>
          <w:b w:val="false"/>
          <w:color w:val="000000"/>
          <w:sz w:val="20"/>
        </w:rPr>
        <w:t>(D)    </w:t>
      </w:r>
      <w:r>
        <w:rPr>
          <w:rFonts w:ascii="Times New Roman;serif" w:hAnsi="Times New Roman;serif"/>
          <w:b w:val="false"/>
          <w:color w:val="000000"/>
          <w:sz w:val="20"/>
          <w:u w:val="single"/>
        </w:rPr>
        <w:t>Subdivisions, Combinations or Reclassifications</w:t>
      </w:r>
      <w:r>
        <w:rPr>
          <w:rFonts w:ascii="Times New Roman;serif" w:hAnsi="Times New Roman;serif"/>
          <w:b w:val="false"/>
          <w:color w:val="000000"/>
          <w:sz w:val="20"/>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Times New Roman;serif" w:hAnsi="Times New Roman;serif"/>
          <w:b w:val="false"/>
          <w:i/>
          <w:color w:val="000000"/>
          <w:sz w:val="20"/>
        </w:rPr>
        <w:t>provided, however</w:t>
      </w:r>
      <w:r>
        <w:rPr>
          <w:rFonts w:ascii="Times New Roman;serif" w:hAnsi="Times New Roman;serif"/>
          <w:b w:val="false"/>
          <w:color w:val="000000"/>
          <w:sz w:val="20"/>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pStyle w:val="TextBody"/>
        <w:bidi w:val="0"/>
        <w:spacing w:lineRule="auto" w:line="276" w:before="0" w:after="240"/>
        <w:ind w:left="0" w:right="0" w:firstLine="72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Liquidation, Dissolution or Winding Up</w:t>
      </w:r>
      <w:r>
        <w:rPr>
          <w:rFonts w:ascii="Times New Roman;serif" w:hAnsi="Times New Roman;serif"/>
          <w:b w:val="false"/>
          <w:color w:val="000000"/>
          <w:sz w:val="20"/>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pStyle w:val="TextBody"/>
        <w:bidi w:val="0"/>
        <w:spacing w:lineRule="auto" w:line="276" w:before="0" w:after="240"/>
        <w:ind w:left="0" w:right="0" w:firstLine="720"/>
        <w:jc w:val="both"/>
        <w:rPr/>
      </w:pPr>
      <w:r>
        <w:rPr>
          <w:rFonts w:ascii="Times New Roman;serif" w:hAnsi="Times New Roman;serif"/>
          <w:b w:val="false"/>
          <w:color w:val="000000"/>
          <w:sz w:val="20"/>
        </w:rPr>
        <w:t>(F)    </w:t>
      </w:r>
      <w:r>
        <w:rPr>
          <w:rFonts w:ascii="Times New Roman;serif" w:hAnsi="Times New Roman;serif"/>
          <w:b w:val="false"/>
          <w:color w:val="000000"/>
          <w:sz w:val="20"/>
          <w:u w:val="single"/>
        </w:rPr>
        <w:t>Restrictions on Transfers of Shares of LT Common Stock</w:t>
      </w:r>
      <w:r>
        <w:rPr>
          <w:rFonts w:ascii="Times New Roman;serif" w:hAnsi="Times New Roman;serif"/>
          <w:b w:val="false"/>
          <w:color w:val="000000"/>
          <w:sz w:val="20"/>
        </w:rPr>
        <w:t>.</w:t>
      </w:r>
    </w:p>
    <w:p>
      <w:pPr>
        <w:pStyle w:val="TextBody"/>
        <w:bidi w:val="0"/>
        <w:spacing w:lineRule="auto" w:line="276"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(i)     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 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w:t>
      </w:r>
    </w:p>
    <w:p>
      <w:pPr>
        <w:pStyle w:val="TextBody"/>
        <w:bidi w:val="0"/>
        <w:spacing w:before="0" w:after="20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0"/>
        </w:rPr>
        <w:t xml:space="preserve">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a “Transfer” shall not include: (1) the grant of a proxy to officers or directors of the Corporation at the request of the Board in connection with actions to be taken at an annual or special meeting of stockholders; (2) any Transfer to or by the trust (the “</w:t>
      </w:r>
      <w:r>
        <w:rPr>
          <w:rFonts w:ascii="Times New Roman;serif" w:hAnsi="Times New Roman;serif"/>
          <w:b w:val="false"/>
          <w:color w:val="000000"/>
          <w:sz w:val="20"/>
          <w:u w:val="single"/>
        </w:rPr>
        <w:t>Expensify Voting Trust</w:t>
      </w:r>
      <w:r>
        <w:rPr>
          <w:color w:val="000000"/>
        </w:rPr>
        <w:t>”</w:t>
      </w:r>
      <w:r>
        <w:rPr>
          <w:rFonts w:ascii="Times New Roman;serif" w:hAnsi="Times New Roman;serif"/>
          <w:b w:val="false"/>
          <w:color w:val="000000"/>
          <w:sz w:val="20"/>
        </w:rPr>
        <w:t>) established under that certain Voting Trust Agreement, dated as of November 9, 2021, by and between the Company and the holders named therein (as it may be amended and/or restated from time to time in accordance with its terms, the “</w:t>
      </w:r>
      <w:r>
        <w:rPr>
          <w:rFonts w:ascii="Times New Roman;serif" w:hAnsi="Times New Roman;serif"/>
          <w:b w:val="false"/>
          <w:color w:val="000000"/>
          <w:sz w:val="20"/>
          <w:u w:val="single"/>
        </w:rPr>
        <w:t>Voting Trust Agreement</w:t>
      </w:r>
      <w:r>
        <w:rPr>
          <w:color w:val="000000"/>
        </w:rPr>
        <w:t>”</w:t>
      </w:r>
      <w:r>
        <w:rPr>
          <w:rFonts w:ascii="Times New Roman;serif" w:hAnsi="Times New Roman;serif"/>
          <w:b w:val="false"/>
          <w:color w:val="000000"/>
          <w:sz w:val="20"/>
        </w:rPr>
        <w:t xml:space="preserve">);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 </w:t>
      </w:r>
    </w:p>
    <w:p>
      <w:pPr>
        <w:pStyle w:val="TextBody"/>
        <w:bidi w:val="0"/>
        <w:spacing w:lineRule="auto" w:line="276"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    Notwithstanding the foregoing, the Board shall be able to waive, upon the affirmative vote of a majority of the members of the Board, any or all of the requirements of Section 3(H) of this Article IV with respect to the Transfer of any shares of LT Common Stock.</w:t>
      </w:r>
    </w:p>
    <w:p>
      <w:pPr>
        <w:pStyle w:val="TextBody"/>
        <w:bidi w:val="0"/>
        <w:spacing w:lineRule="auto" w:line="276" w:before="0" w:after="240"/>
        <w:ind w:left="0" w:right="0" w:firstLine="1440"/>
        <w:jc w:val="both"/>
        <w:rPr/>
      </w:pPr>
      <w:r>
        <w:rPr>
          <w:rFonts w:ascii="Times New Roman;serif" w:hAnsi="Times New Roman;serif"/>
          <w:b w:val="false"/>
          <w:color w:val="000000"/>
          <w:sz w:val="20"/>
        </w:rPr>
        <w:t xml:space="preserve">(iii)    Any Transfer of shares of LT Common Stock not made in accordance with this Section 3(F) and Section 3(H), or pursuant to Section 3(G), of this Article IV shall be void </w:t>
      </w:r>
      <w:r>
        <w:rPr>
          <w:rFonts w:ascii="Times New Roman;serif" w:hAnsi="Times New Roman;serif"/>
          <w:b w:val="false"/>
          <w:i/>
          <w:color w:val="000000"/>
          <w:sz w:val="20"/>
        </w:rPr>
        <w:t>ab initio</w:t>
      </w:r>
      <w:r>
        <w:rPr>
          <w:rFonts w:ascii="Times New Roman;serif" w:hAnsi="Times New Roman;serif"/>
          <w:b w:val="false"/>
          <w:color w:val="000000"/>
          <w:sz w:val="20"/>
        </w:rPr>
        <w:t xml:space="preserve">, and the Corporation shall not treat the transferee in such transaction as a holder of such shares for any purpose. </w:t>
      </w:r>
    </w:p>
    <w:p>
      <w:pPr>
        <w:pStyle w:val="TextBody"/>
        <w:bidi w:val="0"/>
        <w:spacing w:lineRule="auto" w:line="276" w:before="0" w:after="240"/>
        <w:ind w:left="0" w:right="0" w:firstLine="720"/>
        <w:jc w:val="both"/>
        <w:rPr/>
      </w:pPr>
      <w:r>
        <w:rPr>
          <w:rFonts w:ascii="Times New Roman;serif" w:hAnsi="Times New Roman;serif"/>
          <w:b w:val="false"/>
          <w:color w:val="000000"/>
          <w:sz w:val="20"/>
        </w:rPr>
        <w:t>(G)    </w:t>
      </w:r>
      <w:r>
        <w:rPr>
          <w:rFonts w:ascii="Times New Roman;serif" w:hAnsi="Times New Roman;serif"/>
          <w:b w:val="false"/>
          <w:color w:val="000000"/>
          <w:sz w:val="20"/>
          <w:u w:val="single"/>
        </w:rPr>
        <w:t>Conversion of LT Common Stock</w:t>
      </w:r>
      <w:r>
        <w:rPr>
          <w:rFonts w:ascii="Times New Roman;serif" w:hAnsi="Times New Roman;serif"/>
          <w:b w:val="false"/>
          <w:color w:val="000000"/>
          <w:sz w:val="20"/>
        </w:rPr>
        <w:t>.</w:t>
      </w:r>
    </w:p>
    <w:p>
      <w:pPr>
        <w:pStyle w:val="TextBody"/>
        <w:bidi w:val="0"/>
        <w:spacing w:lineRule="auto" w:line="276" w:before="0" w:after="240"/>
        <w:ind w:left="0" w:right="0" w:firstLine="1440"/>
        <w:jc w:val="both"/>
        <w:rPr/>
      </w:pPr>
      <w:r>
        <w:rPr>
          <w:rFonts w:ascii="Times New Roman;serif" w:hAnsi="Times New Roman;serif"/>
          <w:b w:val="false"/>
          <w:color w:val="000000"/>
          <w:sz w:val="20"/>
        </w:rPr>
        <w:t>(i)    </w:t>
      </w:r>
      <w:r>
        <w:rPr>
          <w:rFonts w:ascii="Times New Roman;serif" w:hAnsi="Times New Roman;serif"/>
          <w:b w:val="false"/>
          <w:color w:val="000000"/>
          <w:sz w:val="20"/>
          <w:u w:val="single"/>
        </w:rPr>
        <w:t>Optional Conversion by Holder of LT Common Stock</w:t>
      </w:r>
      <w:r>
        <w:rPr>
          <w:rFonts w:ascii="Times New Roman;serif" w:hAnsi="Times New Roman;serif"/>
          <w:b w:val="false"/>
          <w:color w:val="000000"/>
          <w:sz w:val="20"/>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pStyle w:val="TextBody"/>
        <w:bidi w:val="0"/>
        <w:spacing w:lineRule="auto" w:line="276" w:before="0" w:after="240"/>
        <w:ind w:left="0" w:right="0" w:firstLine="1440"/>
        <w:jc w:val="both"/>
        <w:rPr/>
      </w:pPr>
      <w:r>
        <w:rPr>
          <w:rFonts w:ascii="Times New Roman;serif" w:hAnsi="Times New Roman;serif"/>
          <w:b w:val="false"/>
          <w:color w:val="000000"/>
          <w:sz w:val="20"/>
        </w:rPr>
        <w:t>(ii)    </w:t>
      </w:r>
      <w:r>
        <w:rPr>
          <w:rFonts w:ascii="Times New Roman;serif" w:hAnsi="Times New Roman;serif"/>
          <w:b w:val="false"/>
          <w:color w:val="000000"/>
          <w:sz w:val="20"/>
          <w:u w:val="single"/>
        </w:rPr>
        <w:t>Automatic Conversion Upon Certain Transfers</w:t>
      </w:r>
      <w:r>
        <w:rPr>
          <w:rFonts w:ascii="Times New Roman;serif" w:hAnsi="Times New Roman;serif"/>
          <w:b w:val="false"/>
          <w:color w:val="000000"/>
          <w:sz w:val="20"/>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Times New Roman;serif" w:hAnsi="Times New Roman;serif"/>
          <w:b w:val="false"/>
          <w:color w:val="000000"/>
          <w:sz w:val="20"/>
          <w:u w:val="single"/>
        </w:rPr>
        <w:t>Non-Converting Transfer</w:t>
      </w:r>
      <w:r>
        <w:rPr>
          <w:color w:val="000000"/>
        </w:rPr>
        <w:t xml:space="preserve">” </w:t>
      </w:r>
      <w:r>
        <w:rPr>
          <w:rFonts w:ascii="Times New Roman;serif" w:hAnsi="Times New Roman;serif"/>
          <w:b w:val="false"/>
          <w:color w:val="000000"/>
          <w:sz w:val="20"/>
        </w:rPr>
        <w:t>means a Transfer of shares of LT Common Stock (i) to be held in trust by the Trustees of the Expensify Voting Trust; (ii) in an Exchange as defined in and pursuant to Section 3(H)(iii) of this Article IV; (iii) to the estate of a decedent holder of LT Common Stock, upon such holder’s death; or (iv) approved in advance by the affirmative vote of a majority of the members of the Board.</w:t>
      </w:r>
    </w:p>
    <w:p>
      <w:pPr>
        <w:pStyle w:val="TextBody"/>
        <w:bidi w:val="0"/>
        <w:spacing w:lineRule="auto" w:line="276" w:before="0" w:after="240"/>
        <w:ind w:left="0" w:right="0" w:firstLine="1440"/>
        <w:jc w:val="both"/>
        <w:rPr/>
      </w:pPr>
      <w:r>
        <w:rPr>
          <w:rFonts w:ascii="Times New Roman;serif" w:hAnsi="Times New Roman;serif"/>
          <w:b w:val="false"/>
          <w:color w:val="000000"/>
          <w:sz w:val="20"/>
        </w:rPr>
        <w:t>(iii)    </w:t>
      </w:r>
      <w:r>
        <w:rPr>
          <w:rFonts w:ascii="Times New Roman;serif" w:hAnsi="Times New Roman;serif"/>
          <w:b w:val="false"/>
          <w:color w:val="000000"/>
          <w:sz w:val="20"/>
          <w:u w:val="single"/>
        </w:rPr>
        <w:t>Automatic Conversion Upon Reduction in Outstanding Shares</w:t>
      </w:r>
      <w:r>
        <w:rPr>
          <w:rFonts w:ascii="Times New Roman;serif" w:hAnsi="Times New Roman;serif"/>
          <w:b w:val="false"/>
          <w:color w:val="000000"/>
          <w:sz w:val="20"/>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pStyle w:val="TextBody"/>
        <w:bidi w:val="0"/>
        <w:spacing w:lineRule="auto" w:line="276" w:before="0" w:after="240"/>
        <w:ind w:left="0" w:right="0" w:firstLine="1440"/>
        <w:jc w:val="both"/>
        <w:rPr/>
      </w:pPr>
      <w:r>
        <w:rPr>
          <w:rFonts w:ascii="Times New Roman;serif" w:hAnsi="Times New Roman;serif"/>
          <w:b w:val="false"/>
          <w:color w:val="000000"/>
          <w:sz w:val="20"/>
        </w:rPr>
        <w:t>(iv)    </w:t>
      </w:r>
      <w:r>
        <w:rPr>
          <w:rFonts w:ascii="Times New Roman;serif" w:hAnsi="Times New Roman;serif"/>
          <w:b w:val="false"/>
          <w:color w:val="000000"/>
          <w:sz w:val="20"/>
          <w:u w:val="single"/>
        </w:rPr>
        <w:t>Policies and Procedures</w:t>
      </w:r>
      <w:r>
        <w:rPr>
          <w:rFonts w:ascii="Times New Roman;serif" w:hAnsi="Times New Roman;serif"/>
          <w:b w:val="false"/>
          <w:color w:val="000000"/>
          <w:sz w:val="20"/>
        </w:rPr>
        <w:t xml:space="preserve">.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 </w:t>
      </w:r>
    </w:p>
    <w:p>
      <w:pPr>
        <w:pStyle w:val="TextBody"/>
        <w:bidi w:val="0"/>
        <w:spacing w:before="0" w:after="20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00000"/>
          <w:sz w:val="20"/>
        </w:rPr>
        <w:t>(v)    </w:t>
      </w:r>
      <w:r>
        <w:rPr>
          <w:rFonts w:ascii="Times New Roman;serif" w:hAnsi="Times New Roman;serif"/>
          <w:b w:val="false"/>
          <w:color w:val="000000"/>
          <w:sz w:val="20"/>
          <w:u w:val="single"/>
        </w:rPr>
        <w:t>Status of Converted Stock</w:t>
      </w:r>
      <w:r>
        <w:rPr>
          <w:rFonts w:ascii="Times New Roman;serif" w:hAnsi="Times New Roman;serif"/>
          <w:b w:val="false"/>
          <w:color w:val="000000"/>
          <w:sz w:val="20"/>
        </w:rPr>
        <w:t xml:space="preserve">. In the event any shares of LT Common Stock are converted into shares of Class A Common Stock pursuant to this Section 3, the shares of LT Common Stock so converted shall be retired and shall not be reissued by the Corporation. </w:t>
      </w:r>
    </w:p>
    <w:p>
      <w:pPr>
        <w:pStyle w:val="TextBody"/>
        <w:bidi w:val="0"/>
        <w:spacing w:lineRule="auto" w:line="276" w:before="0" w:after="240"/>
        <w:ind w:left="0" w:right="0" w:firstLine="1440"/>
        <w:jc w:val="both"/>
        <w:rPr/>
      </w:pPr>
      <w:r>
        <w:rPr>
          <w:rFonts w:ascii="Times New Roman;serif" w:hAnsi="Times New Roman;serif"/>
          <w:b w:val="false"/>
          <w:color w:val="000000"/>
          <w:sz w:val="20"/>
        </w:rPr>
        <w:t>(vi)    </w:t>
      </w:r>
      <w:r>
        <w:rPr>
          <w:rFonts w:ascii="Times New Roman;serif" w:hAnsi="Times New Roman;serif"/>
          <w:b w:val="false"/>
          <w:color w:val="000000"/>
          <w:sz w:val="20"/>
          <w:u w:val="single"/>
        </w:rPr>
        <w:t>Effect of Conversion on Payment of Dividends</w:t>
      </w:r>
      <w:r>
        <w:rPr>
          <w:rFonts w:ascii="Times New Roman;serif" w:hAnsi="Times New Roman;serif"/>
          <w:b w:val="false"/>
          <w:color w:val="000000"/>
          <w:sz w:val="20"/>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Times New Roman;serif" w:hAnsi="Times New Roman;serif"/>
          <w:b w:val="false"/>
          <w:i/>
          <w:color w:val="000000"/>
          <w:sz w:val="20"/>
        </w:rPr>
        <w:t>provided</w:t>
      </w:r>
      <w:r>
        <w:rPr>
          <w:rFonts w:ascii="Times New Roman;serif" w:hAnsi="Times New Roman;serif"/>
          <w:b w:val="false"/>
          <w:color w:val="000000"/>
          <w:sz w:val="20"/>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pStyle w:val="TextBody"/>
        <w:bidi w:val="0"/>
        <w:spacing w:lineRule="auto" w:line="276" w:before="0" w:after="240"/>
        <w:ind w:left="0" w:right="0" w:firstLine="1440"/>
        <w:jc w:val="both"/>
        <w:rPr/>
      </w:pPr>
      <w:r>
        <w:rPr>
          <w:rFonts w:ascii="Times New Roman;serif" w:hAnsi="Times New Roman;serif"/>
          <w:b w:val="false"/>
          <w:color w:val="000000"/>
          <w:sz w:val="20"/>
        </w:rPr>
        <w:t>(ix)    </w:t>
      </w:r>
      <w:r>
        <w:rPr>
          <w:rFonts w:ascii="Times New Roman;serif" w:hAnsi="Times New Roman;serif"/>
          <w:b w:val="false"/>
          <w:color w:val="000000"/>
          <w:sz w:val="20"/>
          <w:u w:val="single"/>
        </w:rPr>
        <w:t>Shares Reserved for Issuance</w:t>
      </w:r>
      <w:r>
        <w:rPr>
          <w:rFonts w:ascii="Times New Roman;serif" w:hAnsi="Times New Roman;serif"/>
          <w:b w:val="false"/>
          <w:color w:val="000000"/>
          <w:sz w:val="20"/>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pStyle w:val="TextBody"/>
        <w:bidi w:val="0"/>
        <w:spacing w:lineRule="auto" w:line="276" w:before="0" w:after="240"/>
        <w:ind w:left="0" w:right="0" w:firstLine="720"/>
        <w:jc w:val="both"/>
        <w:rPr/>
      </w:pPr>
      <w:r>
        <w:rPr>
          <w:rFonts w:ascii="Times New Roman;serif" w:hAnsi="Times New Roman;serif"/>
          <w:b w:val="false"/>
          <w:color w:val="000000"/>
          <w:sz w:val="20"/>
        </w:rPr>
        <w:t>(H)    </w:t>
      </w:r>
      <w:r>
        <w:rPr>
          <w:rFonts w:ascii="Times New Roman;serif" w:hAnsi="Times New Roman;serif"/>
          <w:b w:val="false"/>
          <w:color w:val="000000"/>
          <w:sz w:val="20"/>
          <w:u w:val="single"/>
        </w:rPr>
        <w:t>LT Common Stock Transfer and Conversion Requirements</w:t>
      </w:r>
      <w:r>
        <w:rPr>
          <w:rFonts w:ascii="Times New Roman;serif" w:hAnsi="Times New Roman;serif"/>
          <w:b w:val="false"/>
          <w:color w:val="000000"/>
          <w:sz w:val="20"/>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0"/>
        </w:rPr>
        <w:t>(i)    </w:t>
      </w:r>
      <w:r>
        <w:rPr>
          <w:rFonts w:ascii="Times New Roman;serif" w:hAnsi="Times New Roman;serif"/>
          <w:b w:val="false"/>
          <w:color w:val="000000"/>
          <w:sz w:val="20"/>
          <w:u w:val="single"/>
        </w:rPr>
        <w:t>Notice Requirement</w:t>
      </w:r>
      <w:r>
        <w:rPr>
          <w:rFonts w:ascii="Times New Roman;serif" w:hAnsi="Times New Roman;serif"/>
          <w:b w:val="false"/>
          <w:color w:val="000000"/>
          <w:sz w:val="20"/>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pStyle w:val="TextBody"/>
        <w:bidi w:val="0"/>
        <w:spacing w:lineRule="auto" w:line="276" w:before="0" w:after="240"/>
        <w:ind w:left="0" w:right="0" w:firstLine="1440"/>
        <w:jc w:val="both"/>
        <w:rPr/>
      </w:pPr>
      <w:r>
        <w:rPr>
          <w:rFonts w:ascii="Times New Roman;serif" w:hAnsi="Times New Roman;serif"/>
          <w:b w:val="false"/>
          <w:color w:val="000000"/>
          <w:sz w:val="20"/>
        </w:rPr>
        <w:t>(ii)    </w:t>
      </w:r>
      <w:r>
        <w:rPr>
          <w:rFonts w:ascii="Times New Roman;serif" w:hAnsi="Times New Roman;serif"/>
          <w:b w:val="false"/>
          <w:color w:val="000000"/>
          <w:sz w:val="20"/>
          <w:u w:val="single"/>
        </w:rPr>
        <w:t>Notice Period</w:t>
      </w:r>
      <w:r>
        <w:rPr>
          <w:rFonts w:ascii="Times New Roman;serif" w:hAnsi="Times New Roman;serif"/>
          <w:b w:val="false"/>
          <w:color w:val="000000"/>
          <w:sz w:val="20"/>
        </w:rPr>
        <w:t xml:space="preserve">. The “Notice Period” for each share of LT10 Common Stock shall be ten (10) months, and for each share of LT50 Common Stock shall be fifty (50) months, following the receipt of notice as set forth in Section 3(H)(i) of this Article IV. </w:t>
      </w:r>
    </w:p>
    <w:p>
      <w:pPr>
        <w:pStyle w:val="TextBody"/>
        <w:bidi w:val="0"/>
        <w:spacing w:lineRule="auto" w:line="276" w:before="0" w:after="240"/>
        <w:ind w:left="0" w:right="0" w:firstLine="1440"/>
        <w:jc w:val="both"/>
        <w:rPr/>
      </w:pPr>
      <w:r>
        <w:rPr>
          <w:rFonts w:ascii="Times New Roman;serif" w:hAnsi="Times New Roman;serif"/>
          <w:b w:val="false"/>
          <w:color w:val="000000"/>
          <w:sz w:val="20"/>
        </w:rPr>
        <w:t>(iii)    </w:t>
      </w:r>
      <w:r>
        <w:rPr>
          <w:rFonts w:ascii="Times New Roman;serif" w:hAnsi="Times New Roman;serif"/>
          <w:b w:val="false"/>
          <w:color w:val="000000"/>
          <w:sz w:val="20"/>
          <w:u w:val="single"/>
        </w:rPr>
        <w:t>Exchange</w:t>
      </w:r>
      <w:r>
        <w:rPr>
          <w:rFonts w:ascii="Times New Roman;serif" w:hAnsi="Times New Roman;serif"/>
          <w:b w:val="false"/>
          <w:color w:val="000000"/>
          <w:sz w:val="20"/>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Times New Roman;serif" w:hAnsi="Times New Roman;serif"/>
          <w:b w:val="false"/>
          <w:color w:val="000000"/>
          <w:sz w:val="20"/>
          <w:u w:val="single"/>
        </w:rPr>
        <w:t>Class A Transferor</w:t>
      </w:r>
      <w:r>
        <w:rPr>
          <w:color w:val="000000"/>
        </w:rPr>
        <w:t>”</w:t>
      </w:r>
      <w:r>
        <w:rPr>
          <w:rFonts w:ascii="Times New Roman;serif" w:hAnsi="Times New Roman;serif"/>
          <w:b w:val="false"/>
          <w:color w:val="000000"/>
          <w:sz w:val="20"/>
        </w:rPr>
        <w:t>) for the shares of LT Common Stock subject to the notice, on a one-for-one basis (an “</w:t>
      </w:r>
      <w:r>
        <w:rPr>
          <w:rFonts w:ascii="Times New Roman;serif" w:hAnsi="Times New Roman;serif"/>
          <w:b w:val="false"/>
          <w:color w:val="000000"/>
          <w:sz w:val="20"/>
          <w:u w:val="single"/>
        </w:rPr>
        <w:t>Exchange</w:t>
      </w:r>
      <w:r>
        <w:rPr>
          <w:color w:val="000000"/>
        </w:rPr>
        <w:t>”</w:t>
      </w:r>
      <w:r>
        <w:rPr>
          <w:rFonts w:ascii="Times New Roman;serif" w:hAnsi="Times New Roman;serif"/>
          <w:b w:val="false"/>
          <w:color w:val="000000"/>
          <w:sz w:val="20"/>
        </w:rPr>
        <w:t>). If a Class A Transferor is identified, the Trustees shall provide written notice to the holder of shares of LT Common Stock seeking to convert or Transfer shares of LT Common Stock pursuant to this Section 3(H) (the “</w:t>
      </w:r>
      <w:r>
        <w:rPr>
          <w:rFonts w:ascii="Times New Roman;serif" w:hAnsi="Times New Roman;serif"/>
          <w:b w:val="false"/>
          <w:color w:val="000000"/>
          <w:sz w:val="20"/>
          <w:u w:val="single"/>
        </w:rPr>
        <w:t>LT Holder</w:t>
      </w:r>
      <w:r>
        <w:rPr>
          <w:color w:val="000000"/>
        </w:rPr>
        <w:t>”</w:t>
      </w:r>
      <w:r>
        <w:rPr>
          <w:rFonts w:ascii="Times New Roman;serif" w:hAnsi="Times New Roman;serif"/>
          <w:b w:val="false"/>
          <w:color w:val="000000"/>
          <w:sz w:val="20"/>
        </w:rPr>
        <w:t>), the Class A Transferor and the Corporation, at its principal corporate office, stating the names of such LT Holder and Class A Transferor, the date on which the applicable notice period expires (the “</w:t>
      </w:r>
      <w:r>
        <w:rPr>
          <w:rFonts w:ascii="Times New Roman;serif" w:hAnsi="Times New Roman;serif"/>
          <w:b w:val="false"/>
          <w:color w:val="000000"/>
          <w:sz w:val="20"/>
          <w:u w:val="single"/>
        </w:rPr>
        <w:t>Notice Expiration Date</w:t>
      </w:r>
      <w:r>
        <w:rPr>
          <w:color w:val="000000"/>
        </w:rPr>
        <w:t>”</w:t>
      </w:r>
      <w:r>
        <w:rPr>
          <w:rFonts w:ascii="Times New Roman;serif" w:hAnsi="Times New Roman;serif"/>
          <w:b w:val="false"/>
          <w:color w:val="000000"/>
          <w:sz w:val="20"/>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 xml:space="preserve">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w:t>
      </w:r>
    </w:p>
    <w:p>
      <w:pPr>
        <w:pStyle w:val="TextBody"/>
        <w:bidi w:val="0"/>
        <w:spacing w:before="0" w:after="20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0"/>
        </w:rPr>
        <w:t xml:space="preserve">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the Corporation may extend such effective date by up to five (5) days if necessary to effectuate the Exchange (such date,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The Corporation shall, as soon as practicable after the Effective Date, issue and deliver to such LT Holder a certificate or certificates representing the number of shares of Class A Common Stock to which such holder is entitled upon the Exchange (if such shares of 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pStyle w:val="TextBody"/>
        <w:bidi w:val="0"/>
        <w:spacing w:lineRule="auto" w:line="276" w:before="0" w:after="240"/>
        <w:ind w:left="0" w:right="0" w:firstLine="1440"/>
        <w:jc w:val="both"/>
        <w:rPr/>
      </w:pPr>
      <w:r>
        <w:rPr>
          <w:rFonts w:ascii="Times New Roman;serif" w:hAnsi="Times New Roman;serif"/>
          <w:b w:val="false"/>
          <w:color w:val="000000"/>
          <w:sz w:val="20"/>
        </w:rPr>
        <w:t>(iv)    </w:t>
      </w:r>
      <w:r>
        <w:rPr>
          <w:rFonts w:ascii="Times New Roman;serif" w:hAnsi="Times New Roman;serif"/>
          <w:b w:val="false"/>
          <w:color w:val="000000"/>
          <w:sz w:val="20"/>
          <w:u w:val="single"/>
        </w:rPr>
        <w:t>Conversion of LT Common Stock if No Exchange</w:t>
      </w:r>
      <w:r>
        <w:rPr>
          <w:rFonts w:ascii="Times New Roman;serif" w:hAnsi="Times New Roman;serif"/>
          <w:b w:val="false"/>
          <w:color w:val="000000"/>
          <w:sz w:val="20"/>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Times New Roman;serif" w:hAnsi="Times New Roman;serif"/>
          <w:b w:val="false"/>
          <w:color w:val="000000"/>
          <w:sz w:val="20"/>
          <w:u w:val="single"/>
        </w:rPr>
        <w:t>Conversion Notice</w:t>
      </w:r>
      <w:r>
        <w:rPr>
          <w:color w:val="000000"/>
        </w:rPr>
        <w:t>”</w:t>
      </w:r>
      <w:r>
        <w:rPr>
          <w:rFonts w:ascii="Times New Roman;serif" w:hAnsi="Times New Roman;serif"/>
          <w:b w:val="false"/>
          <w:color w:val="000000"/>
          <w:sz w:val="20"/>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Times New Roman;serif" w:hAnsi="Times New Roman;serif"/>
          <w:b w:val="false"/>
          <w:color w:val="000000"/>
          <w:sz w:val="20"/>
          <w:u w:val="single"/>
        </w:rPr>
        <w:t>Conversion Effective Time</w:t>
      </w:r>
      <w:r>
        <w:rPr>
          <w:color w:val="000000"/>
        </w:rPr>
        <w:t>”</w:t>
      </w:r>
      <w:r>
        <w:rPr>
          <w:rFonts w:ascii="Times New Roman;serif" w:hAnsi="Times New Roman;serif"/>
          <w:b w:val="false"/>
          <w:color w:val="000000"/>
          <w:sz w:val="20"/>
        </w:rPr>
        <w:t xml:space="preserve">),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 </w:t>
      </w:r>
    </w:p>
    <w:p>
      <w:pPr>
        <w:pStyle w:val="TextBody"/>
        <w:bidi w:val="0"/>
        <w:spacing w:lineRule="auto" w:line="319" w:before="0" w:after="240"/>
        <w:jc w:val="center"/>
        <w:rPr>
          <w:rFonts w:ascii="Times New Roman;serif" w:hAnsi="Times New Roman;serif"/>
          <w:b/>
          <w:color w:val="000000"/>
          <w:sz w:val="20"/>
        </w:rPr>
      </w:pPr>
      <w:r>
        <w:rPr>
          <w:rFonts w:ascii="Times New Roman;serif" w:hAnsi="Times New Roman;serif"/>
          <w:b/>
          <w:color w:val="000000"/>
          <w:sz w:val="20"/>
        </w:rPr>
        <w:t>ARTICLE V</w:t>
      </w:r>
    </w:p>
    <w:p>
      <w:pPr>
        <w:pStyle w:val="TextBody"/>
        <w:bidi w:val="0"/>
        <w:spacing w:lineRule="auto" w:line="319"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AMENDMENT OF THE CERTIFICATE OF INCORPORATION</w:t>
      </w:r>
    </w:p>
    <w:p>
      <w:pPr>
        <w:pStyle w:val="TextBody"/>
        <w:bidi w:val="0"/>
        <w:spacing w:lineRule="auto" w:line="276" w:before="0" w:after="240"/>
        <w:ind w:left="0" w:right="0" w:firstLine="720"/>
        <w:jc w:val="both"/>
        <w:rPr/>
      </w:pPr>
      <w:r>
        <w:rPr>
          <w:rFonts w:ascii="Times New Roman;serif" w:hAnsi="Times New Roman;serif"/>
          <w:b w:val="false"/>
          <w:color w:val="000000"/>
          <w:sz w:val="20"/>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notwithstanding any other provision of this Certificate of Incorporation or any provision of law that might otherwise permit a lesser vote or no vote, but in addition to any vote of the holders of shares of any class or series of capital stock of the Corporation required by law or by this Certificate of Incorporation:</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w:t>
      </w:r>
    </w:p>
    <w:p>
      <w:pPr>
        <w:pStyle w:val="TextBody"/>
        <w:bidi w:val="0"/>
        <w:spacing w:before="0" w:after="20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 and LT50 Common Stock voting together as a single class, other than as provided by this Certificate of Incorporation or required by the DGCL.</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ARTICLE VI</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AMENDMENT OF BYLAWS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ARTICLE VII</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BOARD OF DIRECTORS</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1.    </w:t>
      </w:r>
      <w:r>
        <w:rPr>
          <w:rFonts w:ascii="Times New Roman;serif" w:hAnsi="Times New Roman;serif"/>
          <w:b w:val="false"/>
          <w:color w:val="000000"/>
          <w:sz w:val="20"/>
          <w:u w:val="single"/>
        </w:rPr>
        <w:t>Number of Directors</w:t>
      </w:r>
      <w:r>
        <w:rPr>
          <w:rFonts w:ascii="Times New Roman;serif" w:hAnsi="Times New Roman;serif"/>
          <w:b w:val="false"/>
          <w:color w:val="000000"/>
          <w:sz w:val="20"/>
        </w:rPr>
        <w: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The business and affairs of the Corporation shall be managed by or under the direction of the Board, except as otherwise provided by law.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pStyle w:val="TextBody"/>
        <w:bidi w:val="0"/>
        <w:spacing w:before="0" w:after="20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2.    </w:t>
      </w:r>
      <w:r>
        <w:rPr>
          <w:rFonts w:ascii="Times New Roman;serif" w:hAnsi="Times New Roman;serif"/>
          <w:b w:val="false"/>
          <w:color w:val="000000"/>
          <w:sz w:val="20"/>
          <w:u w:val="single"/>
        </w:rPr>
        <w:t>Terms of Office</w:t>
      </w:r>
      <w:r>
        <w:rPr>
          <w:rFonts w:ascii="Times New Roman;serif" w:hAnsi="Times New Roman;serif"/>
          <w:b w:val="false"/>
          <w:color w:val="000000"/>
          <w:sz w:val="20"/>
        </w:rPr>
        <w:t>.</w:t>
      </w:r>
    </w:p>
    <w:p>
      <w:pPr>
        <w:pStyle w:val="TextBody"/>
        <w:bidi w:val="0"/>
        <w:spacing w:lineRule="auto" w:line="276" w:before="0" w:after="240"/>
        <w:ind w:left="0" w:right="0" w:firstLine="720"/>
        <w:jc w:val="both"/>
        <w:rPr/>
      </w:pPr>
      <w:r>
        <w:rPr>
          <w:rFonts w:ascii="Times New Roman;serif" w:hAnsi="Times New Roman;serif"/>
          <w:b w:val="false"/>
          <w:color w:val="000000"/>
          <w:sz w:val="20"/>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the term of each director shall continue until the election and qualification of his or her successor and be subject to his or her earlier death, disqualification, resignation or removal.</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3.    </w:t>
      </w:r>
      <w:r>
        <w:rPr>
          <w:rFonts w:ascii="Times New Roman;serif" w:hAnsi="Times New Roman;serif"/>
          <w:b w:val="false"/>
          <w:color w:val="000000"/>
          <w:sz w:val="20"/>
          <w:u w:val="single"/>
        </w:rPr>
        <w:t>Vacancies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4.    </w:t>
      </w:r>
      <w:r>
        <w:rPr>
          <w:rFonts w:ascii="Times New Roman;serif" w:hAnsi="Times New Roman;serif"/>
          <w:b w:val="false"/>
          <w:color w:val="000000"/>
          <w:sz w:val="20"/>
          <w:u w:val="single"/>
        </w:rPr>
        <w:t>Removal</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5.    </w:t>
      </w:r>
      <w:r>
        <w:rPr>
          <w:rFonts w:ascii="Times New Roman;serif" w:hAnsi="Times New Roman;serif"/>
          <w:b w:val="false"/>
          <w:color w:val="000000"/>
          <w:sz w:val="20"/>
          <w:u w:val="single"/>
        </w:rPr>
        <w:t>Committees</w:t>
      </w:r>
    </w:p>
    <w:p>
      <w:pPr>
        <w:pStyle w:val="TextBody"/>
        <w:bidi w:val="0"/>
        <w:spacing w:lineRule="auto" w:line="276" w:before="0" w:after="240"/>
        <w:ind w:left="0" w:right="0" w:firstLine="720"/>
        <w:jc w:val="both"/>
        <w:rPr/>
      </w:pPr>
      <w:r>
        <w:rPr>
          <w:rFonts w:ascii="Times New Roman;serif" w:hAnsi="Times New Roman;serif"/>
          <w:b w:val="false"/>
          <w:color w:val="000000"/>
          <w:sz w:val="20"/>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6.    </w:t>
      </w:r>
      <w:r>
        <w:rPr>
          <w:rFonts w:ascii="Times New Roman;serif" w:hAnsi="Times New Roman;serif"/>
          <w:b w:val="false"/>
          <w:color w:val="000000"/>
          <w:sz w:val="20"/>
          <w:u w:val="single"/>
        </w:rPr>
        <w:t>Stockholder Nominations and Introduction of Business</w:t>
      </w:r>
      <w:r>
        <w:rPr>
          <w:rFonts w:ascii="Times New Roman;serif" w:hAnsi="Times New Roman;serif"/>
          <w:b w:val="false"/>
          <w:color w:val="000000"/>
          <w:sz w:val="20"/>
        </w:rPr>
        <w: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Advance notice of stockholder nominations for election of directors and other business to be brought by stockholders before a meeting of stockholders shall be given in the manner provided by the Bylaws.</w:t>
      </w:r>
    </w:p>
    <w:p>
      <w:pPr>
        <w:pStyle w:val="TextBody"/>
        <w:bidi w:val="0"/>
        <w:spacing w:lineRule="auto" w:line="276" w:before="0" w:after="240"/>
        <w:ind w:left="0" w:right="0" w:firstLine="720"/>
        <w:jc w:val="both"/>
        <w:rPr/>
      </w:pPr>
      <w:r>
        <w:rPr>
          <w:rFonts w:ascii="Times New Roman;serif" w:hAnsi="Times New Roman;serif"/>
          <w:b w:val="false"/>
          <w:color w:val="000000"/>
          <w:sz w:val="20"/>
        </w:rPr>
        <w:t>Section 7.    </w:t>
      </w:r>
      <w:r>
        <w:rPr>
          <w:rFonts w:ascii="Times New Roman;serif" w:hAnsi="Times New Roman;serif"/>
          <w:b w:val="false"/>
          <w:color w:val="000000"/>
          <w:sz w:val="20"/>
          <w:u w:val="single"/>
        </w:rPr>
        <w:t>Preferred Stock Directors</w:t>
      </w:r>
      <w:r>
        <w:rPr>
          <w:rFonts w:ascii="Times New Roman;serif" w:hAnsi="Times New Roman;serif"/>
          <w:b w:val="false"/>
          <w:color w:val="000000"/>
          <w:sz w:val="20"/>
        </w:rPr>
        <w: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w:t>
      </w:r>
    </w:p>
    <w:p>
      <w:pPr>
        <w:pStyle w:val="TextBody"/>
        <w:bidi w:val="0"/>
        <w:spacing w:before="0" w:after="20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 terms of office of all such directors shall forthwith terminate and the total authorized number of directors of the Corporation shall be reduced accordingly.</w:t>
      </w:r>
    </w:p>
    <w:p>
      <w:pPr>
        <w:pStyle w:val="TextBody"/>
        <w:bidi w:val="0"/>
        <w:spacing w:lineRule="auto" w:line="319" w:before="0" w:after="240"/>
        <w:jc w:val="center"/>
        <w:rPr>
          <w:rFonts w:ascii="Times New Roman;serif" w:hAnsi="Times New Roman;serif"/>
          <w:b/>
          <w:color w:val="000000"/>
          <w:sz w:val="20"/>
        </w:rPr>
      </w:pPr>
      <w:r>
        <w:rPr>
          <w:rFonts w:ascii="Times New Roman;serif" w:hAnsi="Times New Roman;serif"/>
          <w:b/>
          <w:color w:val="000000"/>
          <w:sz w:val="20"/>
        </w:rPr>
        <w:t>ARTICLE VIII</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LIMITATION OF DIRECTOR LIABILITY</w:t>
      </w:r>
    </w:p>
    <w:p>
      <w:pPr>
        <w:pStyle w:val="TextBody"/>
        <w:bidi w:val="0"/>
        <w:spacing w:lineRule="auto" w:line="276" w:before="0" w:after="240"/>
        <w:ind w:left="0" w:right="0" w:firstLine="720"/>
        <w:jc w:val="both"/>
        <w:rPr/>
      </w:pPr>
      <w:r>
        <w:rPr>
          <w:rFonts w:ascii="Times New Roman;serif" w:hAnsi="Times New Roman;serif"/>
          <w:b w:val="false"/>
          <w:color w:val="000000"/>
          <w:sz w:val="20"/>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nothing contained in this Article VIII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 </w:t>
      </w:r>
    </w:p>
    <w:p>
      <w:pPr>
        <w:pStyle w:val="TextBody"/>
        <w:bidi w:val="0"/>
        <w:spacing w:lineRule="auto" w:line="319" w:before="0" w:after="240"/>
        <w:jc w:val="center"/>
        <w:rPr>
          <w:rFonts w:ascii="Times New Roman;serif" w:hAnsi="Times New Roman;serif"/>
          <w:b/>
          <w:color w:val="000000"/>
          <w:sz w:val="20"/>
        </w:rPr>
      </w:pPr>
      <w:r>
        <w:rPr>
          <w:rFonts w:ascii="Times New Roman;serif" w:hAnsi="Times New Roman;serif"/>
          <w:b/>
          <w:color w:val="000000"/>
          <w:sz w:val="20"/>
        </w:rPr>
        <w:t>ARTICLE IX</w:t>
      </w:r>
    </w:p>
    <w:p>
      <w:pPr>
        <w:pStyle w:val="TextBody"/>
        <w:bidi w:val="0"/>
        <w:spacing w:lineRule="auto" w:line="319"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INDEMNIFICATION</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pStyle w:val="TextBody"/>
        <w:bidi w:val="0"/>
        <w:spacing w:lineRule="auto" w:line="319" w:before="0" w:after="240"/>
        <w:jc w:val="center"/>
        <w:rPr>
          <w:rFonts w:ascii="Times New Roman;serif" w:hAnsi="Times New Roman;serif"/>
          <w:b/>
          <w:color w:val="000000"/>
          <w:sz w:val="20"/>
        </w:rPr>
      </w:pPr>
      <w:r>
        <w:rPr>
          <w:rFonts w:ascii="Times New Roman;serif" w:hAnsi="Times New Roman;serif"/>
          <w:b/>
          <w:color w:val="000000"/>
          <w:sz w:val="20"/>
        </w:rPr>
        <w:t>ARTICLE X</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CONSENT OF STOCKHOLDERS IN LIEU OF MEETING</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ARTICLE XI</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SPECIAL MEETING OF STOCKHOLDERS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pStyle w:val="TextBody"/>
        <w:bidi w:val="0"/>
        <w:spacing w:before="0" w:after="20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ARTICLE XII</w:t>
      </w:r>
    </w:p>
    <w:p>
      <w:pPr>
        <w:pStyle w:val="TextBody"/>
        <w:bidi w:val="0"/>
        <w:spacing w:lineRule="auto" w:line="276"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FORUM SELECTION</w:t>
      </w:r>
    </w:p>
    <w:p>
      <w:pPr>
        <w:pStyle w:val="TextBody"/>
        <w:bidi w:val="0"/>
        <w:spacing w:lineRule="auto" w:line="276" w:before="0" w:after="240"/>
        <w:ind w:left="0" w:right="0" w:firstLine="720"/>
        <w:jc w:val="both"/>
        <w:rPr/>
      </w:pPr>
      <w:r>
        <w:rPr>
          <w:rFonts w:ascii="Times New Roman;serif" w:hAnsi="Times New Roman;serif"/>
          <w:b w:val="false"/>
          <w:color w:val="000000"/>
          <w:sz w:val="20"/>
        </w:rPr>
        <w:t>Unless the Corporation consents in writing to the selection of an alternative forum, (a) the Court of Chancery (the “</w:t>
      </w:r>
      <w:r>
        <w:rPr>
          <w:rFonts w:ascii="Times New Roman;serif" w:hAnsi="Times New Roman;serif"/>
          <w:b w:val="false"/>
          <w:color w:val="000000"/>
          <w:sz w:val="20"/>
          <w:u w:val="single"/>
        </w:rPr>
        <w:t>Chancery Court</w:t>
      </w:r>
      <w:r>
        <w:rPr>
          <w:color w:val="000000"/>
        </w:rPr>
        <w:t>”</w:t>
      </w:r>
      <w:r>
        <w:rPr>
          <w:rFonts w:ascii="Times New Roman;serif" w:hAnsi="Times New Roman;serif"/>
          <w:b w:val="false"/>
          <w:color w:val="000000"/>
          <w:sz w:val="20"/>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w:t>
      </w:r>
      <w:r>
        <w:rPr>
          <w:color w:val="000000"/>
        </w:rPr>
        <w:t xml:space="preserve"> </w:t>
      </w:r>
      <w:r>
        <w:rPr>
          <w:rFonts w:ascii="Times New Roman;serif" w:hAnsi="Times New Roman;serif"/>
          <w:b w:val="false"/>
          <w:color w:val="000000"/>
          <w:sz w:val="20"/>
        </w:rPr>
        <w:t>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serif" w:hAnsi="Times New Roman;serif"/>
          <w:b w:val="false"/>
          <w:color w:val="000000"/>
          <w:sz w:val="20"/>
          <w:u w:val="single"/>
        </w:rPr>
        <w:t>Foreign Action</w:t>
      </w:r>
      <w:r>
        <w:rPr>
          <w:color w:val="000000"/>
        </w:rPr>
        <w:t>”</w:t>
      </w:r>
      <w:r>
        <w:rPr>
          <w:rFonts w:ascii="Times New Roman;serif" w:hAnsi="Times New Roman;serif"/>
          <w:b w:val="false"/>
          <w:color w:val="000000"/>
          <w:sz w:val="20"/>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pStyle w:val="TextBody"/>
        <w:bidi w:val="0"/>
        <w:spacing w:lineRule="auto" w:line="276" w:before="0" w:after="8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lineRule="auto" w:line="319" w:before="0" w:after="240"/>
        <w:jc w:val="center"/>
        <w:rPr>
          <w:rFonts w:ascii="Times New Roman;serif" w:hAnsi="Times New Roman;serif"/>
          <w:b w:val="false"/>
          <w:color w:val="000000"/>
          <w:sz w:val="20"/>
        </w:rPr>
      </w:pPr>
      <w:r>
        <w:rPr>
          <w:rFonts w:ascii="Times New Roman;serif" w:hAnsi="Times New Roman;serif"/>
          <w:b w:val="false"/>
          <w:color w:val="000000"/>
          <w:sz w:val="20"/>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19" w:before="0" w:after="10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this Amended and Restated Certificate of Incorporation has been executed this 15th day of November, 2021.</w:t>
      </w:r>
    </w:p>
    <w:tbl>
      <w:tblPr>
        <w:tblW w:w="4276" w:type="dxa"/>
        <w:jc w:val="right"/>
        <w:tblInd w:w="0" w:type="dxa"/>
        <w:tblLayout w:type="fixed"/>
        <w:tblCellMar>
          <w:top w:w="28" w:type="dxa"/>
          <w:left w:w="28" w:type="dxa"/>
          <w:bottom w:w="28" w:type="dxa"/>
          <w:right w:w="28" w:type="dxa"/>
        </w:tblCellMar>
      </w:tblPr>
      <w:tblGrid>
        <w:gridCol w:w="197"/>
        <w:gridCol w:w="174"/>
        <w:gridCol w:w="174"/>
        <w:gridCol w:w="174"/>
        <w:gridCol w:w="174"/>
        <w:gridCol w:w="174"/>
        <w:gridCol w:w="265"/>
        <w:gridCol w:w="265"/>
        <w:gridCol w:w="265"/>
        <w:gridCol w:w="702"/>
        <w:gridCol w:w="702"/>
        <w:gridCol w:w="1010"/>
      </w:tblGrid>
      <w:tr>
        <w:trPr/>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27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EXPENSIFY, INC.</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David Barrett</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David Barrett</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670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1.670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670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670 shares of LT10 Common Stock that converted into 670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26th day of April,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830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1.830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830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830 shares of LT50 Common Stock that converted into 830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27th day of May,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1,769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1.1,769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1,769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1,769 shares of LT10 Common Stock that converted into 1,769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4th day of August,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1.150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150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150 shares of LT50 Common Stock that converted into 150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150 shares, such that the total number of authorized shares of the Corporation shall be 1,059,996,581, such shares consisting of 1,000,000,000 shares designated Class A Common Stock, 24,997,561 shares designated LT10 Common Stock, 24,999,020 shares designated LT50 Common Stock,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22nd day of November,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735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1.735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735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735 shares of LT10 Common Stock that converted into 735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735 shares, such that the total number of authorized shares of the Corporation shall be 1,059,995,846, such shares consisting of 1,000,000,000 shares designated Class A Common Stock, 24,996,826 shares designated LT10 Common Stock, 24,999,020 shares designated LT50 Common Stock,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8th day of February,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588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1.588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588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588 shares of LT10 Common Stock that converted into 588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588 shares, such that the total number of authorized shares of the Corporation shall be 1,059,995,258, such shares consisting of 1,000,000,000 shares designated Class A Common Stock, 24,996,238 shares designated LT10 Common Stock, 24,999,020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23rd day of June,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1,249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1.1,249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1,249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pPr>
      <w:r>
        <w:rPr>
          <w:rFonts w:ascii="Times New Roman;serif" w:hAnsi="Times New Roman;serif"/>
          <w:b w:val="false"/>
          <w:color w:val="000000"/>
          <w:sz w:val="20"/>
        </w:rPr>
        <w:t>2.79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79 shares of Class A Common Stock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Board of Directors of the Corporation has adopted resolutions retiring the 1,249 shares of LT10 Common Stock and the 79 shares of LT50 Common Stock that converted into 1,249 and 79 shares of Class A Common Stock, respectively, for a total of 1,328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1,328 shares, such that the total number of authorized shares of the Corporation shall be 1,059,993,930, such shares consisting of 1,000,000,000 shares designated Class A Common Stock, 24,994,989 shares designated LT10 Common Stock, 24,998,941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3rd day of August,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284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29,307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1.284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284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pPr>
      <w:r>
        <w:rPr>
          <w:rFonts w:ascii="Times New Roman;serif" w:hAnsi="Times New Roman;serif"/>
          <w:b w:val="false"/>
          <w:color w:val="000000"/>
          <w:sz w:val="20"/>
        </w:rPr>
        <w:t>2.29,307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29,307 shares of Class A Common Stock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Board of Directors of the Corporation has adopted resolutions retiring the 284 shares of LT10 Common Stock and the 29,307 shares of LT50 Common Stock that converted into 284 and 29,307 shares of Class A Common Stock, respectively, for a total of 29,591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29,591 shares, such that the total number of authorized shares of the Corporation shall be 1,059,964,339, such shares consisting of 1,000,000,000 shares designated Class A Common Stock, 24,994,705 shares designated LT10 Common Stock, 24,969,634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12th day of February, 2024.</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3,123,508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1.3,123,508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3,123,508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3,123,508 shares of LT10 Common Stock that converted into 3,123,508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3,123,508 shares, such that the total number of authorized shares of the Corporation shall be 1,056,840,831, such shares consisting of 1,000,000,000 shares designated Class A Common Stock, 21,871,197 shares designated LT10 Common Stock, 24,969,634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8th day of August, 2024.</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2,520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1.2,520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2,520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2,520 shares of LT50 Common Stock that converted into 2,520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2,520 shares, such that the total number of authorized shares of the Corporation shall be 1,056,838,311, such shares consisting of 1,000,000,000 shares designated Class A Common Stock, 21,871,197 shares designated LT10 Common Stock, 24,967,114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7th day of November, 2024.</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74,047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1.74,047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74,047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the 74,047 shares of LT50 Common Stock that converted into 74,047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74,047 shares, such that the total number of authorized shares of the Corporation shall be 1,056,764,264, such shares consisting of 1,000,000,000 shares designated Class A Common Stock, 21,871,197 shares designated LT10 Common Stock, 24,893,067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26th day of February, 2026.</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151,199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1.151,199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151,199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151,199 shares of LT50 Common Stock that converted into 151,199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151,199 shares, such that the total number of authorized shares of the Corporation shall be 1,056,613,065, such shares consisting of 1,000,000,000 shares designated Class A Common Stock, 21,871,197 shares designated LT10 Common Stock, 24,741,868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6th day of August, 2026.</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 David Barrett, certify that: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21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109"/>
        <w:gridCol w:w="109"/>
        <w:gridCol w:w="109"/>
        <w:gridCol w:w="109"/>
        <w:gridCol w:w="109"/>
        <w:gridCol w:w="109"/>
        <w:gridCol w:w="758"/>
        <w:gridCol w:w="758"/>
        <w:gridCol w:w="107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6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Ryan Schaffer, certify that:</w:t>
      </w:r>
    </w:p>
    <w:p>
      <w:pPr>
        <w:pStyle w:val="TextBody"/>
        <w:bidi w:val="0"/>
        <w:spacing w:before="0" w:after="0"/>
        <w:jc w:val="left"/>
        <w:rPr/>
      </w:pPr>
      <w:r>
        <w:rPr/>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12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109"/>
        <w:gridCol w:w="109"/>
        <w:gridCol w:w="109"/>
        <w:gridCol w:w="109"/>
        <w:gridCol w:w="109"/>
        <w:gridCol w:w="109"/>
        <w:gridCol w:w="732"/>
        <w:gridCol w:w="732"/>
        <w:gridCol w:w="104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Quarterly Report on Form 10-Q of the Company for the quarterly period ended June 30, 2026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21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109"/>
        <w:gridCol w:w="109"/>
        <w:gridCol w:w="109"/>
        <w:gridCol w:w="109"/>
        <w:gridCol w:w="109"/>
        <w:gridCol w:w="109"/>
        <w:gridCol w:w="758"/>
        <w:gridCol w:w="758"/>
        <w:gridCol w:w="107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6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Quarterly Report on Form 10-Q of the Company for the quarterly period ended June 30, 2026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12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109"/>
        <w:gridCol w:w="109"/>
        <w:gridCol w:w="109"/>
        <w:gridCol w:w="109"/>
        <w:gridCol w:w="109"/>
        <w:gridCol w:w="109"/>
        <w:gridCol w:w="732"/>
        <w:gridCol w:w="732"/>
        <w:gridCol w:w="104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Expensify Neue">
    <w:altName w:val="sans-serif"/>
    <w:charset w:val="01"/>
    <w:family w:val="auto"/>
    <w:pitch w:val="default"/>
  </w:font>
  <w:font w:name="Arial">
    <w:altName w:val="sans-serif"/>
    <w:charset w:val="01"/>
    <w:family w:val="auto"/>
    <w:pitch w:val="default"/>
  </w:font>
  <w:font w:name="Expensify New Kansas Medium">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0001476840/000162828021023404/exhibit32-8xkclosing.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32003</Words>
  <Characters>171097</Characters>
  <CharactersWithSpaces>201338</CharactersWithSpaces>
  <Paragraphs>2999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